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80" w:rsidRPr="0014143C" w:rsidRDefault="00856380" w:rsidP="005D69F3">
      <w:pPr>
        <w:pStyle w:val="naisvisr"/>
        <w:spacing w:before="0" w:after="0"/>
        <w:rPr>
          <w:spacing w:val="-4"/>
        </w:rPr>
      </w:pPr>
      <w:r w:rsidRPr="0014143C">
        <w:rPr>
          <w:spacing w:val="-4"/>
        </w:rPr>
        <w:t xml:space="preserve">Ministru kabineta noteikumu projekta </w:t>
      </w:r>
      <w:r w:rsidRPr="0014143C">
        <w:rPr>
          <w:spacing w:val="-4"/>
        </w:rPr>
        <w:br/>
        <w:t>"Grozījumi Ministru kabineta 2010.gada 30.novembra noteikumos Nr.1075 "</w:t>
      </w:r>
      <w:bookmarkStart w:id="0" w:name="OLE_LINK3"/>
      <w:bookmarkStart w:id="1" w:name="OLE_LINK4"/>
      <w:r w:rsidRPr="0014143C">
        <w:rPr>
          <w:spacing w:val="-4"/>
        </w:rPr>
        <w:t>Valsts un pašvaldību institūciju amatu katalogs</w:t>
      </w:r>
      <w:bookmarkEnd w:id="0"/>
      <w:bookmarkEnd w:id="1"/>
      <w:r w:rsidRPr="0014143C">
        <w:rPr>
          <w:spacing w:val="-4"/>
        </w:rPr>
        <w:t>"" sākotnējās ietekmes novērtējuma ziņojums (anotācija)</w:t>
      </w:r>
    </w:p>
    <w:p w:rsidR="00856380" w:rsidRPr="0014143C" w:rsidRDefault="00856380" w:rsidP="003C7568">
      <w:pPr>
        <w:pStyle w:val="naisvisr"/>
        <w:spacing w:before="0" w:after="0"/>
      </w:pPr>
    </w:p>
    <w:tbl>
      <w:tblPr>
        <w:tblW w:w="50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31"/>
        <w:gridCol w:w="50"/>
        <w:gridCol w:w="1814"/>
        <w:gridCol w:w="1127"/>
        <w:gridCol w:w="5861"/>
      </w:tblGrid>
      <w:tr w:rsidR="00856380" w:rsidRPr="0014143C" w:rsidTr="00906DC5">
        <w:tc>
          <w:tcPr>
            <w:tcW w:w="5000" w:type="pct"/>
            <w:gridSpan w:val="5"/>
            <w:tcBorders>
              <w:top w:val="single" w:sz="8" w:space="0" w:color="auto"/>
              <w:left w:val="single" w:sz="8" w:space="0" w:color="auto"/>
              <w:bottom w:val="outset" w:sz="6" w:space="0" w:color="auto"/>
              <w:right w:val="single" w:sz="8" w:space="0" w:color="auto"/>
            </w:tcBorders>
            <w:vAlign w:val="center"/>
          </w:tcPr>
          <w:p w:rsidR="00856380" w:rsidRPr="0014143C" w:rsidRDefault="00856380" w:rsidP="0072762F">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I. Tiesību akta projekta izstrādes nepieciešamība</w:t>
            </w:r>
          </w:p>
        </w:tc>
      </w:tr>
      <w:tr w:rsidR="00856380" w:rsidRPr="0014143C" w:rsidTr="00906DC5">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Pamatojums</w:t>
            </w:r>
          </w:p>
        </w:tc>
        <w:tc>
          <w:tcPr>
            <w:tcW w:w="3765" w:type="pct"/>
            <w:gridSpan w:val="2"/>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sz w:val="24"/>
                <w:szCs w:val="24"/>
              </w:rPr>
            </w:pPr>
            <w:r w:rsidRPr="0014143C">
              <w:rPr>
                <w:rFonts w:ascii="Times New Roman" w:hAnsi="Times New Roman"/>
                <w:sz w:val="24"/>
                <w:szCs w:val="24"/>
              </w:rPr>
              <w:t>Valsts un pašvaldību institūciju amatpersonu un darbinieku atlīdzības likuma 7.panta trešās daļas 2.punkts un pārejas noteikumu 12.punkts</w:t>
            </w:r>
          </w:p>
        </w:tc>
      </w:tr>
      <w:tr w:rsidR="00856380" w:rsidRPr="0014143C" w:rsidTr="00906DC5">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Pašreizējā situācija un problēmas</w:t>
            </w:r>
          </w:p>
        </w:tc>
        <w:tc>
          <w:tcPr>
            <w:tcW w:w="3765" w:type="pct"/>
            <w:gridSpan w:val="2"/>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sz w:val="24"/>
                <w:szCs w:val="24"/>
              </w:rPr>
            </w:pPr>
            <w:r w:rsidRPr="0014143C">
              <w:rPr>
                <w:rFonts w:ascii="Times New Roman" w:hAnsi="Times New Roman"/>
                <w:spacing w:val="-6"/>
                <w:sz w:val="24"/>
                <w:szCs w:val="24"/>
              </w:rPr>
              <w:t>Kopš 2011.gada 1.janvāra pašvaldībās ir ieviesta darba samaksas sistēma, kas balstās uz amatu klasifikāciju. Veicot amatu klasifikāciju, pašvaldības vairākkārtīgi ir vērsušās Valsts kancelejā ar lūgumu izvērtēt amatu klasificēšanas rezultātus, jo ir bijušas aizdomas par neatbilstošu amatu klasifikāciju, kas daļēji ir skaidrojams ar pieredzes trūkumu šajā jomā. Valsts kancelejai saskaņā ar pašlaik esošo normatīvo regulējumu nav tiesību uzdot pašvaldībām un to padotības iestādēm grozīt vai precizēt amatu klasifikāciju. Vienlaikus Valsts un pašvaldību institūciju amatu katalogs ir precizējams, iekļaujot pašvaldībām specifiskos amatus</w:t>
            </w:r>
          </w:p>
        </w:tc>
      </w:tr>
      <w:tr w:rsidR="00856380" w:rsidRPr="0014143C" w:rsidTr="00906DC5">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Saistītie politikas ietekmes novērtējumi un pētījumi</w:t>
            </w:r>
          </w:p>
        </w:tc>
        <w:tc>
          <w:tcPr>
            <w:tcW w:w="3765" w:type="pct"/>
            <w:gridSpan w:val="2"/>
            <w:tcBorders>
              <w:top w:val="outset" w:sz="6" w:space="0" w:color="auto"/>
              <w:left w:val="outset" w:sz="6" w:space="0" w:color="auto"/>
              <w:bottom w:val="outset" w:sz="6" w:space="0" w:color="auto"/>
            </w:tcBorders>
          </w:tcPr>
          <w:p w:rsidR="00856380" w:rsidRPr="0014143C" w:rsidRDefault="00856380" w:rsidP="00906DC5">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mērķis un būtība</w:t>
            </w:r>
          </w:p>
        </w:tc>
        <w:tc>
          <w:tcPr>
            <w:tcW w:w="3765" w:type="pct"/>
            <w:gridSpan w:val="2"/>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spacing w:val="-6"/>
                <w:sz w:val="24"/>
                <w:szCs w:val="24"/>
              </w:rPr>
            </w:pPr>
            <w:r w:rsidRPr="0014143C">
              <w:rPr>
                <w:rFonts w:ascii="Times New Roman" w:hAnsi="Times New Roman"/>
                <w:spacing w:val="-6"/>
                <w:sz w:val="24"/>
                <w:szCs w:val="24"/>
              </w:rPr>
              <w:t>2010.gada 14.oktobra grozījumi Valsts un pašvaldību institūciju amatpersonu un darbinieku atlīdzības likumā (7.panta trešās daļas 2.punkts) paredz Ministru kabinetam līdz 2011.gada 1.martam noteikt vienotu amatu klasifikācijas sistēmu un amatu klasificēšanas kārtību valsts un pašvaldību institūcijās, kā arī amatu klasificēšanas rezultātu uzraudzības sistēmu un par attiecīgo darbību veikšanu atbildīgo institūciju. Noteikumu projekta 2.punktā tiek piedāvāts, ka Valsts kanceleja izlases kārtībā var veikt amatu klasificēšanas rezultātu pārbaudi pašvaldībās un to iestādēs, kā arī, konstatējot nepilnības vai pārkāpumus amatu klasifikācijā, Valsts kancelejai ir tiesības uzdot grozīt vai precizēt amatu klasifikāciju.</w:t>
            </w:r>
          </w:p>
          <w:p w:rsidR="00856380" w:rsidRPr="0014143C" w:rsidRDefault="00856380" w:rsidP="00906DC5">
            <w:pPr>
              <w:pStyle w:val="naiskr"/>
              <w:spacing w:before="0" w:beforeAutospacing="0" w:after="0" w:afterAutospacing="0"/>
              <w:rPr>
                <w:spacing w:val="-6"/>
              </w:rPr>
            </w:pPr>
          </w:p>
          <w:p w:rsidR="00856380" w:rsidRPr="0014143C" w:rsidRDefault="00856380" w:rsidP="00906DC5">
            <w:pPr>
              <w:pStyle w:val="naiskr"/>
              <w:spacing w:before="0" w:beforeAutospacing="0" w:after="0" w:afterAutospacing="0"/>
              <w:rPr>
                <w:spacing w:val="-6"/>
              </w:rPr>
            </w:pPr>
            <w:r w:rsidRPr="0014143C">
              <w:rPr>
                <w:spacing w:val="-6"/>
              </w:rPr>
              <w:t>Ievērojot to, ka vienlaikus ir nepieciešami grozījumi arī Ministru kabineta 2009.gada 22.decembra noteikumos Nr.1651 "Noteikumi par valsts tiešās pārvaldes iestāžu amatpersonu un darbinieku darba samaksu, kvalifikācijas pakāpēm un to noteikšanas kārtību" (turpmāk – noteikumi Nr.1651), tad Valsts un pašvaldību institūciju amatu katalogā ir veicami tikai redakcionāli precizējumi, kuru dēļ nav nepieciešams izveidot jaunus līmeņus un noteikt atbilstošas mēnešalgu grupas noteikumos Nr.1651.</w:t>
            </w:r>
          </w:p>
          <w:p w:rsidR="00856380" w:rsidRPr="0014143C" w:rsidRDefault="00856380" w:rsidP="00906DC5">
            <w:pPr>
              <w:pStyle w:val="naiskr"/>
              <w:spacing w:before="0" w:beforeAutospacing="0" w:after="0" w:afterAutospacing="0"/>
              <w:rPr>
                <w:spacing w:val="-6"/>
              </w:rPr>
            </w:pPr>
          </w:p>
          <w:p w:rsidR="00856380" w:rsidRPr="0014143C" w:rsidRDefault="00856380" w:rsidP="00906DC5">
            <w:pPr>
              <w:pStyle w:val="naiskr"/>
              <w:spacing w:before="0" w:beforeAutospacing="0" w:after="0" w:afterAutospacing="0"/>
            </w:pPr>
            <w:r w:rsidRPr="0014143C">
              <w:t xml:space="preserve">Noteikumu projekts paredz precizēt: </w:t>
            </w:r>
          </w:p>
          <w:p w:rsidR="00856380" w:rsidRPr="0014143C" w:rsidRDefault="00856380" w:rsidP="00906DC5">
            <w:pPr>
              <w:pStyle w:val="naiskr"/>
              <w:spacing w:before="0" w:beforeAutospacing="0" w:after="0" w:afterAutospacing="0"/>
              <w:rPr>
                <w:spacing w:val="-6"/>
              </w:rPr>
            </w:pPr>
            <w:r w:rsidRPr="0014143C">
              <w:rPr>
                <w:spacing w:val="-6"/>
              </w:rPr>
              <w:t xml:space="preserve"> - saimes "1. </w:t>
            </w:r>
            <w:r w:rsidRPr="0014143C">
              <w:rPr>
                <w:bCs/>
                <w:spacing w:val="-6"/>
              </w:rPr>
              <w:t>Administratīvā vadība</w:t>
            </w:r>
            <w:r w:rsidRPr="0014143C">
              <w:rPr>
                <w:spacing w:val="-6"/>
              </w:rPr>
              <w:t xml:space="preserve">" IVB un VA līmeni, norādot, ka līmeņiem noteiktās funkcijas veic Valsts ieņēmumu dienests un Valsts kase; </w:t>
            </w:r>
          </w:p>
          <w:p w:rsidR="00856380" w:rsidRPr="0014143C" w:rsidRDefault="00856380" w:rsidP="00906DC5">
            <w:pPr>
              <w:pStyle w:val="naiskr"/>
              <w:spacing w:before="0" w:beforeAutospacing="0" w:after="0" w:afterAutospacing="0"/>
              <w:rPr>
                <w:spacing w:val="-6"/>
              </w:rPr>
            </w:pPr>
            <w:r w:rsidRPr="0014143C">
              <w:rPr>
                <w:spacing w:val="-6"/>
              </w:rPr>
              <w:t xml:space="preserve"> - apakšsaimes "11.1. </w:t>
            </w:r>
            <w:r w:rsidRPr="0014143C">
              <w:rPr>
                <w:bCs/>
                <w:spacing w:val="-6"/>
              </w:rPr>
              <w:t>Finanšu tirgi un finanšu resursu vadība</w:t>
            </w:r>
            <w:r w:rsidRPr="0014143C">
              <w:rPr>
                <w:spacing w:val="-6"/>
              </w:rPr>
              <w:t>" II un III līmeni, ievērojot 2008., 2009. un 2010.gadā notikušās izmaiņas Valsts kases veikto funkciju apjomā un sadalījumā;</w:t>
            </w:r>
          </w:p>
          <w:p w:rsidR="00856380" w:rsidRPr="0014143C" w:rsidRDefault="00856380" w:rsidP="00906DC5">
            <w:pPr>
              <w:pStyle w:val="naiskr"/>
              <w:spacing w:before="0" w:beforeAutospacing="0" w:after="0" w:afterAutospacing="0"/>
              <w:rPr>
                <w:spacing w:val="-6"/>
              </w:rPr>
            </w:pPr>
            <w:r w:rsidRPr="0014143C">
              <w:rPr>
                <w:spacing w:val="-6"/>
              </w:rPr>
              <w:t xml:space="preserve"> - apakšsaimes "11.2. Kreditēšana" I, II un III līmeni, ievērojot 2008., 2009. un 2010.gadā notikušās izmaiņas Valsts kases veikto funkciju apjomā un sadalījumā;</w:t>
            </w:r>
          </w:p>
          <w:p w:rsidR="00856380" w:rsidRPr="0014143C" w:rsidRDefault="00856380" w:rsidP="00906DC5">
            <w:pPr>
              <w:pStyle w:val="naiskr"/>
              <w:spacing w:before="0" w:beforeAutospacing="0" w:after="0" w:afterAutospacing="0"/>
              <w:rPr>
                <w:spacing w:val="-6"/>
              </w:rPr>
            </w:pPr>
            <w:r w:rsidRPr="0014143C">
              <w:rPr>
                <w:spacing w:val="-6"/>
              </w:rPr>
              <w:t xml:space="preserve"> - apakšsaimes "11.3. Risku vadība (finanšu riski)" II līmeni, ievērojot 2008., 2009. un 2010.gadā notikušās izmaiņas Valsts kases veikto funkciju apjomā un sadalījumā;</w:t>
            </w:r>
          </w:p>
          <w:p w:rsidR="00856380" w:rsidRPr="0014143C" w:rsidRDefault="00856380" w:rsidP="00906DC5">
            <w:pPr>
              <w:pStyle w:val="naiskr"/>
              <w:spacing w:before="0" w:beforeAutospacing="0" w:after="0" w:afterAutospacing="0"/>
              <w:rPr>
                <w:spacing w:val="-6"/>
              </w:rPr>
            </w:pPr>
            <w:r w:rsidRPr="0014143C">
              <w:rPr>
                <w:spacing w:val="-6"/>
              </w:rPr>
              <w:t xml:space="preserve"> - apakšsaimi "11.4. Valsts budžeta norēķini", ievērojot 2008., 2009. un 2010.gadā notikušās izmaiņas Valsts kases veikto funkciju apjomā un sadalījumā;</w:t>
            </w:r>
          </w:p>
          <w:p w:rsidR="00856380" w:rsidRPr="0014143C" w:rsidRDefault="00856380" w:rsidP="00906DC5">
            <w:pPr>
              <w:pStyle w:val="naiskr"/>
              <w:spacing w:before="0" w:beforeAutospacing="0" w:after="0" w:afterAutospacing="0"/>
              <w:rPr>
                <w:spacing w:val="-6"/>
              </w:rPr>
            </w:pPr>
            <w:r w:rsidRPr="0014143C">
              <w:rPr>
                <w:spacing w:val="-6"/>
              </w:rPr>
              <w:t xml:space="preserve"> - apakšsaimes "18.2. Bibliotēku pakalpojumi" II, III, IV un V līmeni, precizējot līmeņiem noteikto vadības funkciju; </w:t>
            </w:r>
          </w:p>
          <w:p w:rsidR="00856380" w:rsidRPr="0014143C" w:rsidRDefault="00856380" w:rsidP="00906DC5">
            <w:pPr>
              <w:pStyle w:val="naiskr"/>
              <w:spacing w:before="0" w:beforeAutospacing="0" w:after="0" w:afterAutospacing="0"/>
              <w:rPr>
                <w:spacing w:val="-6"/>
              </w:rPr>
            </w:pPr>
            <w:r w:rsidRPr="0014143C">
              <w:rPr>
                <w:spacing w:val="-6"/>
              </w:rPr>
              <w:t xml:space="preserve"> - apakšsaimes "28.4. </w:t>
            </w:r>
            <w:r w:rsidRPr="0014143C">
              <w:rPr>
                <w:bCs/>
                <w:spacing w:val="-6"/>
              </w:rPr>
              <w:t>Pašvaldības policija</w:t>
            </w:r>
            <w:r w:rsidRPr="0014143C">
              <w:rPr>
                <w:spacing w:val="-6"/>
              </w:rPr>
              <w:t>" II un III līmeni, precizējot atbildību attiecībā uz administratīvo pārkāpumu atklāšanu un lēmumu pieņemšanu.</w:t>
            </w:r>
          </w:p>
          <w:p w:rsidR="00856380" w:rsidRPr="0014143C" w:rsidRDefault="00856380" w:rsidP="00906DC5">
            <w:pPr>
              <w:spacing w:after="0" w:line="240" w:lineRule="auto"/>
              <w:rPr>
                <w:rFonts w:ascii="Times New Roman" w:hAnsi="Times New Roman"/>
                <w:spacing w:val="-6"/>
                <w:sz w:val="24"/>
                <w:szCs w:val="24"/>
              </w:rPr>
            </w:pPr>
          </w:p>
          <w:p w:rsidR="00856380" w:rsidRPr="0014143C" w:rsidRDefault="00856380" w:rsidP="00906DC5">
            <w:pPr>
              <w:spacing w:after="0" w:line="240" w:lineRule="auto"/>
              <w:rPr>
                <w:rFonts w:ascii="Times New Roman" w:hAnsi="Times New Roman"/>
                <w:bCs/>
                <w:spacing w:val="-6"/>
                <w:sz w:val="24"/>
                <w:szCs w:val="24"/>
              </w:rPr>
            </w:pPr>
            <w:r w:rsidRPr="0014143C">
              <w:rPr>
                <w:rFonts w:ascii="Times New Roman" w:hAnsi="Times New Roman"/>
                <w:spacing w:val="-6"/>
                <w:sz w:val="24"/>
                <w:szCs w:val="24"/>
              </w:rPr>
              <w:t xml:space="preserve">Lai pilnveidotu Valsts un pašvaldību institūciju amatu katalogu, tai skaitā ņemtu vērā Rīgas reģiona pašvaldību darbinieku arodbiedrības iesūtītos priekšlikumus, kas vienlaikus prasa arī grozījumus noteikumos Nr.1651, un izstrādes procesā iesaistītu pašvaldības un citas arodbiedrības, tiek paredzēts izveidot darba grupu. Valsts kancelejai </w:t>
            </w:r>
            <w:r w:rsidRPr="0014143C">
              <w:rPr>
                <w:rFonts w:ascii="Times New Roman" w:hAnsi="Times New Roman"/>
                <w:bCs/>
                <w:spacing w:val="-6"/>
                <w:sz w:val="24"/>
                <w:szCs w:val="24"/>
              </w:rPr>
              <w:t>līdz 2011.gada 1.oktobrim jāiesniedz Ministru kabinetā noteikumu projekts par grozījumiem Ministru kabineta 2010.gada 30.novembra noteikumos Nr.1075 "Valsts un pašvaldību institūciju amatu katalogs", un Finanšu ministrijai līdz 2011.gada 1.oktobrim jāiesniedz Ministru kabinetā noteikumu projekts par grozījumiem Ministru kabineta 2009.gada 22.decembra noteikumos Nr.1651 "</w:t>
            </w:r>
            <w:r w:rsidRPr="0014143C">
              <w:rPr>
                <w:rFonts w:ascii="Times New Roman" w:hAnsi="Times New Roman"/>
                <w:spacing w:val="-6"/>
                <w:sz w:val="24"/>
                <w:szCs w:val="24"/>
              </w:rPr>
              <w:t>Noteikumi par valsts un pašvaldību institūciju amatpersonu un darbinieku darba samaksu, kvalifikācijas pakāpēm un to noteikšanas kārtību</w:t>
            </w:r>
            <w:r w:rsidRPr="0014143C">
              <w:rPr>
                <w:rFonts w:ascii="Times New Roman" w:hAnsi="Times New Roman"/>
                <w:bCs/>
                <w:spacing w:val="-6"/>
                <w:sz w:val="24"/>
                <w:szCs w:val="24"/>
              </w:rPr>
              <w:t>"</w:t>
            </w:r>
          </w:p>
        </w:tc>
      </w:tr>
      <w:tr w:rsidR="00856380" w:rsidRPr="0014143C" w:rsidTr="00906DC5">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Projekta izstrādē iesaistītās institūcijas</w:t>
            </w:r>
          </w:p>
        </w:tc>
        <w:tc>
          <w:tcPr>
            <w:tcW w:w="3765" w:type="pct"/>
            <w:gridSpan w:val="2"/>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spacing w:val="-6"/>
                <w:sz w:val="24"/>
                <w:szCs w:val="24"/>
              </w:rPr>
            </w:pPr>
            <w:r w:rsidRPr="0014143C">
              <w:rPr>
                <w:rFonts w:ascii="Times New Roman" w:hAnsi="Times New Roman"/>
                <w:spacing w:val="-6"/>
                <w:sz w:val="24"/>
                <w:szCs w:val="24"/>
                <w:lang w:eastAsia="lv-LV"/>
              </w:rPr>
              <w:t xml:space="preserve">Par noteikumu projektu saņemti atzinumi ar iebildumiem no Kultūras ministrijas un Latvijas Pašvaldību savienības. Finanšu ministrija izteikusi priekšlikumus. Pārējās ministrijas un Korupcijas novēršanas un apkarošanas birojs atbalsta projekta tālāku virzību bez iebildumiem un priekšlikumiem. Atzinums nav saņemts no Aizsardzības ministrijas, Labklājības ministrijas, Veselības ministrijas un Zemkopības ministrijas. Atzinumu sniegusi Rīgas reģiona pašvaldību darbinieku arodbiedrība, kā arī </w:t>
            </w:r>
            <w:r w:rsidRPr="0014143C">
              <w:rPr>
                <w:rFonts w:ascii="Times New Roman" w:hAnsi="Times New Roman"/>
                <w:spacing w:val="-6"/>
                <w:sz w:val="24"/>
                <w:szCs w:val="24"/>
              </w:rPr>
              <w:t>Bauskas Centrālā bibliotēka, Limbažu Galvenā bibliotēka, Ogres Centrālā bibliotēka un Talsu Galvenā bibliotēka.</w:t>
            </w:r>
          </w:p>
          <w:p w:rsidR="00856380" w:rsidRPr="0014143C" w:rsidRDefault="00856380" w:rsidP="00CF6093">
            <w:pPr>
              <w:spacing w:after="0" w:line="240" w:lineRule="auto"/>
              <w:jc w:val="both"/>
              <w:rPr>
                <w:rFonts w:ascii="Times New Roman" w:hAnsi="Times New Roman"/>
                <w:spacing w:val="-6"/>
                <w:sz w:val="24"/>
                <w:szCs w:val="24"/>
              </w:rPr>
            </w:pPr>
          </w:p>
          <w:p w:rsidR="00856380" w:rsidRPr="0014143C" w:rsidRDefault="00856380" w:rsidP="00906DC5">
            <w:pPr>
              <w:spacing w:after="0" w:line="240" w:lineRule="auto"/>
              <w:rPr>
                <w:rFonts w:ascii="Times New Roman" w:hAnsi="Times New Roman"/>
                <w:sz w:val="24"/>
                <w:szCs w:val="24"/>
                <w:lang w:eastAsia="lv-LV"/>
              </w:rPr>
            </w:pPr>
            <w:r w:rsidRPr="0014143C">
              <w:rPr>
                <w:rFonts w:ascii="Times New Roman" w:hAnsi="Times New Roman"/>
                <w:spacing w:val="-6"/>
                <w:sz w:val="24"/>
                <w:szCs w:val="24"/>
              </w:rPr>
              <w:t xml:space="preserve">Noteikumu projekts saskaņots elektroniski un precizēts atbilstoši </w:t>
            </w:r>
            <w:r w:rsidRPr="0014143C">
              <w:rPr>
                <w:rFonts w:ascii="Times New Roman" w:hAnsi="Times New Roman"/>
                <w:spacing w:val="-6"/>
                <w:sz w:val="24"/>
                <w:szCs w:val="24"/>
                <w:lang w:eastAsia="lv-LV"/>
              </w:rPr>
              <w:t>Rīgas reģiona pašvaldību darbinieku arodbiedrības izteiktajiem priekšlikumiem</w:t>
            </w:r>
          </w:p>
        </w:tc>
      </w:tr>
      <w:tr w:rsidR="00856380" w:rsidRPr="0014143C" w:rsidTr="00906DC5">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Iemesli, kādēļ netika nodrošināta sabiedrības līdzdalība</w:t>
            </w:r>
          </w:p>
        </w:tc>
        <w:tc>
          <w:tcPr>
            <w:tcW w:w="3765" w:type="pct"/>
            <w:gridSpan w:val="2"/>
            <w:tcBorders>
              <w:top w:val="outset" w:sz="6" w:space="0" w:color="auto"/>
              <w:left w:val="outset" w:sz="6" w:space="0" w:color="auto"/>
              <w:bottom w:val="outset" w:sz="6" w:space="0" w:color="auto"/>
            </w:tcBorders>
          </w:tcPr>
          <w:p w:rsidR="00856380" w:rsidRPr="0014143C" w:rsidRDefault="00856380" w:rsidP="009E0E56">
            <w:pPr>
              <w:spacing w:before="100" w:beforeAutospacing="1" w:after="100" w:afterAutospacing="1" w:line="240" w:lineRule="auto"/>
              <w:jc w:val="both"/>
              <w:rPr>
                <w:rFonts w:ascii="Times New Roman" w:hAnsi="Times New Roman"/>
                <w:sz w:val="24"/>
                <w:szCs w:val="24"/>
              </w:rPr>
            </w:pPr>
            <w:r w:rsidRPr="0014143C">
              <w:rPr>
                <w:rFonts w:ascii="Times New Roman" w:hAnsi="Times New Roman"/>
                <w:color w:val="000000"/>
                <w:sz w:val="24"/>
                <w:szCs w:val="24"/>
              </w:rPr>
              <w:t>Normatīvā akta projektam nav tiešas ietekmes uz sabiedrību</w:t>
            </w:r>
            <w:r w:rsidRPr="0014143C">
              <w:rPr>
                <w:rFonts w:ascii="Times New Roman" w:hAnsi="Times New Roman"/>
                <w:sz w:val="24"/>
                <w:szCs w:val="24"/>
              </w:rPr>
              <w:t xml:space="preserve"> </w:t>
            </w:r>
          </w:p>
        </w:tc>
      </w:tr>
      <w:tr w:rsidR="00856380" w:rsidRPr="0014143C" w:rsidTr="00906DC5">
        <w:trPr>
          <w:trHeight w:val="227"/>
        </w:trPr>
        <w:tc>
          <w:tcPr>
            <w:tcW w:w="232"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7.</w:t>
            </w:r>
          </w:p>
        </w:tc>
        <w:tc>
          <w:tcPr>
            <w:tcW w:w="100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765" w:type="pct"/>
            <w:gridSpan w:val="2"/>
            <w:tcBorders>
              <w:top w:val="outset" w:sz="6" w:space="0" w:color="auto"/>
              <w:left w:val="outset" w:sz="6" w:space="0" w:color="auto"/>
              <w:bottom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r w:rsidR="00856380" w:rsidRPr="0014143C" w:rsidTr="00906DC5">
        <w:tc>
          <w:tcPr>
            <w:tcW w:w="5000" w:type="pct"/>
            <w:gridSpan w:val="5"/>
            <w:tcBorders>
              <w:top w:val="single" w:sz="8" w:space="0" w:color="auto"/>
              <w:left w:val="single" w:sz="8" w:space="0" w:color="auto"/>
              <w:bottom w:val="outset" w:sz="6" w:space="0" w:color="auto"/>
              <w:right w:val="single" w:sz="8" w:space="0" w:color="auto"/>
            </w:tcBorders>
            <w:vAlign w:val="center"/>
          </w:tcPr>
          <w:p w:rsidR="00856380" w:rsidRPr="0014143C" w:rsidRDefault="00856380" w:rsidP="0072762F">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II. Tiesību akta projekta ietekme uz sabiedrību</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Sabiedrības mērķgrupa</w:t>
            </w:r>
          </w:p>
        </w:tc>
        <w:tc>
          <w:tcPr>
            <w:tcW w:w="3157" w:type="pct"/>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color w:val="000000"/>
                <w:spacing w:val="-6"/>
                <w:sz w:val="24"/>
                <w:szCs w:val="24"/>
              </w:rPr>
            </w:pPr>
            <w:r w:rsidRPr="0014143C">
              <w:rPr>
                <w:rFonts w:ascii="Times New Roman" w:hAnsi="Times New Roman"/>
                <w:spacing w:val="-6"/>
                <w:sz w:val="24"/>
                <w:szCs w:val="24"/>
                <w:lang w:eastAsia="lv-LV"/>
              </w:rPr>
              <w:t xml:space="preserve">Valsts un pašvaldību institūciju amatpersonas un darbinieki, uz kuriem attiecas Valsts un pašvaldību institūciju </w:t>
            </w:r>
            <w:r w:rsidRPr="0014143C">
              <w:rPr>
                <w:rFonts w:ascii="Times New Roman" w:hAnsi="Times New Roman"/>
                <w:spacing w:val="-6"/>
                <w:sz w:val="24"/>
                <w:szCs w:val="24"/>
              </w:rPr>
              <w:t>amatpersonu un darbinieku atlīdzības likuma 7.</w:t>
            </w:r>
            <w:r w:rsidRPr="0014143C">
              <w:rPr>
                <w:rFonts w:ascii="Times New Roman" w:hAnsi="Times New Roman"/>
                <w:spacing w:val="-6"/>
                <w:sz w:val="24"/>
                <w:szCs w:val="24"/>
                <w:vertAlign w:val="superscript"/>
              </w:rPr>
              <w:t>1 </w:t>
            </w:r>
            <w:r w:rsidRPr="0014143C">
              <w:rPr>
                <w:rFonts w:ascii="Times New Roman" w:hAnsi="Times New Roman"/>
                <w:spacing w:val="-6"/>
                <w:sz w:val="24"/>
                <w:szCs w:val="24"/>
              </w:rPr>
              <w:t>pants un 11.panta pirmā daļa</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Citas sabiedrības grupas (bez mērķgrupas), kuras tiesiskais regulējums arī ietekmē vai varētu ietekmēt</w:t>
            </w:r>
          </w:p>
        </w:tc>
        <w:tc>
          <w:tcPr>
            <w:tcW w:w="3157" w:type="pct"/>
            <w:tcBorders>
              <w:top w:val="outset" w:sz="6" w:space="0" w:color="auto"/>
              <w:left w:val="outset" w:sz="6" w:space="0" w:color="auto"/>
              <w:bottom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finansiālā ietekme</w:t>
            </w:r>
          </w:p>
        </w:tc>
        <w:tc>
          <w:tcPr>
            <w:tcW w:w="3157" w:type="pct"/>
            <w:tcBorders>
              <w:top w:val="outset" w:sz="6" w:space="0" w:color="auto"/>
              <w:left w:val="outset" w:sz="6" w:space="0" w:color="auto"/>
              <w:bottom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Tiesiskā regulējuma nefinansiālā ietekme</w:t>
            </w:r>
          </w:p>
        </w:tc>
        <w:tc>
          <w:tcPr>
            <w:tcW w:w="3157" w:type="pct"/>
            <w:tcBorders>
              <w:top w:val="outset" w:sz="6" w:space="0" w:color="auto"/>
              <w:left w:val="outset" w:sz="6" w:space="0" w:color="auto"/>
              <w:bottom w:val="outset" w:sz="6" w:space="0" w:color="auto"/>
            </w:tcBorders>
          </w:tcPr>
          <w:p w:rsidR="00856380" w:rsidRPr="0014143C" w:rsidRDefault="00856380" w:rsidP="00E26E10">
            <w:pPr>
              <w:spacing w:before="100" w:beforeAutospacing="1" w:after="100" w:afterAutospacing="1" w:line="240" w:lineRule="auto"/>
              <w:jc w:val="both"/>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rPr>
          <w:trHeight w:val="546"/>
        </w:trPr>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Administratīvās procedūras raksturojums</w:t>
            </w:r>
          </w:p>
        </w:tc>
        <w:tc>
          <w:tcPr>
            <w:tcW w:w="3157" w:type="pct"/>
            <w:tcBorders>
              <w:top w:val="outset" w:sz="6" w:space="0" w:color="auto"/>
              <w:left w:val="outset" w:sz="6" w:space="0" w:color="auto"/>
              <w:bottom w:val="outset" w:sz="6" w:space="0" w:color="auto"/>
            </w:tcBorders>
          </w:tcPr>
          <w:p w:rsidR="00856380" w:rsidRPr="0014143C" w:rsidRDefault="00856380" w:rsidP="00597273">
            <w:pPr>
              <w:spacing w:before="100" w:beforeAutospacing="1" w:after="100" w:afterAutospacing="1" w:line="240" w:lineRule="auto"/>
              <w:jc w:val="both"/>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Administratīvo izmaksu monetārs novērtējums</w:t>
            </w:r>
          </w:p>
        </w:tc>
        <w:tc>
          <w:tcPr>
            <w:tcW w:w="3157" w:type="pct"/>
            <w:tcBorders>
              <w:top w:val="outset" w:sz="6" w:space="0" w:color="auto"/>
              <w:left w:val="outset" w:sz="6" w:space="0" w:color="auto"/>
              <w:bottom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259" w:type="pct"/>
            <w:gridSpan w:val="2"/>
            <w:tcBorders>
              <w:top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7.</w:t>
            </w:r>
          </w:p>
        </w:tc>
        <w:tc>
          <w:tcPr>
            <w:tcW w:w="1584" w:type="pct"/>
            <w:gridSpan w:val="2"/>
            <w:tcBorders>
              <w:top w:val="outset" w:sz="6" w:space="0" w:color="auto"/>
              <w:left w:val="outset" w:sz="6" w:space="0" w:color="auto"/>
              <w:bottom w:val="outset" w:sz="6" w:space="0" w:color="auto"/>
              <w:right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3157" w:type="pct"/>
            <w:tcBorders>
              <w:top w:val="outset" w:sz="6" w:space="0" w:color="auto"/>
              <w:left w:val="outset" w:sz="6" w:space="0" w:color="auto"/>
              <w:bottom w:val="outset" w:sz="6" w:space="0" w:color="auto"/>
            </w:tcBorders>
          </w:tcPr>
          <w:p w:rsidR="00856380" w:rsidRPr="0014143C" w:rsidRDefault="00856380" w:rsidP="00597273">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rsidR="00856380" w:rsidRPr="0014143C" w:rsidRDefault="00856380" w:rsidP="009E0E56">
      <w:pPr>
        <w:spacing w:after="0" w:line="240" w:lineRule="auto"/>
        <w:rPr>
          <w:rFonts w:ascii="Times New Roman" w:hAnsi="Times New Roman"/>
          <w:sz w:val="24"/>
          <w:szCs w:val="24"/>
        </w:rPr>
      </w:pPr>
    </w:p>
    <w:p w:rsidR="00856380" w:rsidRPr="0014143C" w:rsidRDefault="00856380" w:rsidP="009E0E56">
      <w:pPr>
        <w:spacing w:after="0" w:line="240" w:lineRule="auto"/>
        <w:rPr>
          <w:rFonts w:ascii="Times New Roman" w:hAnsi="Times New Roman"/>
          <w:sz w:val="24"/>
          <w:szCs w:val="24"/>
        </w:rPr>
      </w:pPr>
      <w:r w:rsidRPr="0014143C">
        <w:rPr>
          <w:rFonts w:ascii="Times New Roman" w:hAnsi="Times New Roman"/>
          <w:sz w:val="24"/>
          <w:szCs w:val="24"/>
        </w:rPr>
        <w:t>Anotācijas III sadaļa – p</w:t>
      </w:r>
      <w:r w:rsidRPr="0014143C">
        <w:rPr>
          <w:rFonts w:ascii="Times New Roman" w:hAnsi="Times New Roman"/>
          <w:sz w:val="24"/>
          <w:szCs w:val="24"/>
          <w:lang w:eastAsia="lv-LV"/>
        </w:rPr>
        <w:t>rojekts šo jomu neskar.</w:t>
      </w:r>
    </w:p>
    <w:p w:rsidR="00856380" w:rsidRPr="0014143C" w:rsidRDefault="00856380" w:rsidP="009E0E56">
      <w:pPr>
        <w:spacing w:after="0" w:line="240" w:lineRule="auto"/>
        <w:rPr>
          <w:rFonts w:ascii="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15"/>
        <w:gridCol w:w="4095"/>
        <w:gridCol w:w="4691"/>
      </w:tblGrid>
      <w:tr w:rsidR="00856380" w:rsidRPr="0014143C" w:rsidTr="00CE3F10">
        <w:trPr>
          <w:tblCellSpacing w:w="0" w:type="dxa"/>
        </w:trPr>
        <w:tc>
          <w:tcPr>
            <w:tcW w:w="9101" w:type="dxa"/>
            <w:gridSpan w:val="3"/>
            <w:tcBorders>
              <w:top w:val="outset" w:sz="6" w:space="0" w:color="auto"/>
              <w:bottom w:val="outset" w:sz="6" w:space="0" w:color="auto"/>
            </w:tcBorders>
          </w:tcPr>
          <w:p w:rsidR="00856380" w:rsidRPr="0014143C" w:rsidRDefault="00856380" w:rsidP="0072762F">
            <w:pPr>
              <w:spacing w:before="100" w:beforeAutospacing="1" w:after="100" w:afterAutospacing="1" w:line="240" w:lineRule="auto"/>
              <w:jc w:val="center"/>
              <w:rPr>
                <w:rFonts w:ascii="Times New Roman" w:hAnsi="Times New Roman"/>
                <w:b/>
                <w:sz w:val="24"/>
                <w:szCs w:val="24"/>
                <w:lang w:eastAsia="lv-LV"/>
              </w:rPr>
            </w:pPr>
            <w:r w:rsidRPr="0014143C">
              <w:rPr>
                <w:rFonts w:ascii="Times New Roman" w:hAnsi="Times New Roman"/>
                <w:b/>
                <w:sz w:val="24"/>
                <w:szCs w:val="24"/>
                <w:lang w:eastAsia="lv-LV"/>
              </w:rPr>
              <w:t>IV. Tiesību akta projekta ietekme uz spēkā esošo tiesību normu sistēmu</w:t>
            </w:r>
          </w:p>
        </w:tc>
      </w:tr>
      <w:tr w:rsidR="00856380" w:rsidRPr="0014143C" w:rsidTr="005D69F3">
        <w:trPr>
          <w:tblCellSpacing w:w="0" w:type="dxa"/>
        </w:trPr>
        <w:tc>
          <w:tcPr>
            <w:tcW w:w="315" w:type="dxa"/>
            <w:tcBorders>
              <w:top w:val="outset" w:sz="6" w:space="0" w:color="auto"/>
              <w:bottom w:val="outset" w:sz="6" w:space="0" w:color="auto"/>
              <w:right w:val="outset" w:sz="6" w:space="0" w:color="auto"/>
            </w:tcBorders>
          </w:tcPr>
          <w:p w:rsidR="00856380" w:rsidRPr="0014143C" w:rsidRDefault="00856380" w:rsidP="0092610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4095" w:type="dxa"/>
            <w:tcBorders>
              <w:top w:val="outset" w:sz="6" w:space="0" w:color="auto"/>
              <w:left w:val="outset" w:sz="6" w:space="0" w:color="auto"/>
              <w:bottom w:val="outset" w:sz="6" w:space="0" w:color="auto"/>
              <w:right w:val="outset" w:sz="6" w:space="0" w:color="auto"/>
            </w:tcBorders>
          </w:tcPr>
          <w:p w:rsidR="00856380" w:rsidRPr="0014143C" w:rsidRDefault="00856380" w:rsidP="00472B38">
            <w:pPr>
              <w:spacing w:before="100" w:beforeAutospacing="1" w:after="100" w:afterAutospacing="1" w:line="240" w:lineRule="auto"/>
              <w:ind w:left="85"/>
              <w:rPr>
                <w:rFonts w:ascii="Times New Roman" w:hAnsi="Times New Roman"/>
                <w:spacing w:val="-6"/>
                <w:sz w:val="24"/>
                <w:szCs w:val="24"/>
                <w:lang w:eastAsia="lv-LV"/>
              </w:rPr>
            </w:pPr>
            <w:r w:rsidRPr="0014143C">
              <w:rPr>
                <w:rFonts w:ascii="Times New Roman" w:hAnsi="Times New Roman"/>
                <w:spacing w:val="-6"/>
                <w:sz w:val="24"/>
                <w:szCs w:val="24"/>
                <w:lang w:eastAsia="lv-LV"/>
              </w:rPr>
              <w:t>Nepieciešamie saistītie tiesību aktu projekti</w:t>
            </w:r>
          </w:p>
        </w:tc>
        <w:tc>
          <w:tcPr>
            <w:tcW w:w="4691" w:type="dxa"/>
            <w:tcBorders>
              <w:top w:val="outset" w:sz="6" w:space="0" w:color="auto"/>
              <w:left w:val="outset" w:sz="6" w:space="0" w:color="auto"/>
              <w:bottom w:val="outset" w:sz="6" w:space="0" w:color="auto"/>
            </w:tcBorders>
          </w:tcPr>
          <w:p w:rsidR="00856380" w:rsidRPr="0014143C" w:rsidRDefault="00856380" w:rsidP="00D4540D">
            <w:pPr>
              <w:pStyle w:val="naisvisr"/>
              <w:spacing w:before="0" w:after="0"/>
              <w:jc w:val="both"/>
              <w:rPr>
                <w:b w:val="0"/>
                <w:sz w:val="24"/>
                <w:szCs w:val="24"/>
              </w:rPr>
            </w:pPr>
            <w:r w:rsidRPr="0014143C">
              <w:rPr>
                <w:b w:val="0"/>
                <w:sz w:val="24"/>
                <w:szCs w:val="24"/>
              </w:rPr>
              <w:t>Nav</w:t>
            </w:r>
          </w:p>
        </w:tc>
      </w:tr>
      <w:tr w:rsidR="00856380" w:rsidRPr="0014143C" w:rsidTr="005D69F3">
        <w:trPr>
          <w:tblCellSpacing w:w="0" w:type="dxa"/>
        </w:trPr>
        <w:tc>
          <w:tcPr>
            <w:tcW w:w="315" w:type="dxa"/>
            <w:tcBorders>
              <w:top w:val="outset" w:sz="6" w:space="0" w:color="auto"/>
              <w:bottom w:val="outset" w:sz="6" w:space="0" w:color="auto"/>
              <w:right w:val="outset" w:sz="6" w:space="0" w:color="auto"/>
            </w:tcBorders>
          </w:tcPr>
          <w:p w:rsidR="00856380" w:rsidRPr="0014143C" w:rsidRDefault="00856380" w:rsidP="0092610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4095" w:type="dxa"/>
            <w:tcBorders>
              <w:top w:val="outset" w:sz="6" w:space="0" w:color="auto"/>
              <w:left w:val="outset" w:sz="6" w:space="0" w:color="auto"/>
              <w:bottom w:val="outset" w:sz="6" w:space="0" w:color="auto"/>
              <w:right w:val="outset" w:sz="6" w:space="0" w:color="auto"/>
            </w:tcBorders>
          </w:tcPr>
          <w:p w:rsidR="00856380" w:rsidRPr="0014143C" w:rsidRDefault="00856380" w:rsidP="00472B38">
            <w:pPr>
              <w:spacing w:before="100" w:beforeAutospacing="1" w:after="100" w:afterAutospacing="1" w:line="240" w:lineRule="auto"/>
              <w:ind w:left="85"/>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4691" w:type="dxa"/>
            <w:tcBorders>
              <w:top w:val="outset" w:sz="6" w:space="0" w:color="auto"/>
              <w:left w:val="outset" w:sz="6" w:space="0" w:color="auto"/>
              <w:bottom w:val="outset" w:sz="6" w:space="0" w:color="auto"/>
            </w:tcBorders>
          </w:tcPr>
          <w:p w:rsidR="00856380" w:rsidRPr="0014143C" w:rsidRDefault="00856380" w:rsidP="0092610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rsidR="00856380" w:rsidRPr="0014143C" w:rsidRDefault="00856380" w:rsidP="009E0E56">
      <w:pPr>
        <w:spacing w:after="0" w:line="240" w:lineRule="auto"/>
        <w:rPr>
          <w:rFonts w:ascii="Times New Roman" w:hAnsi="Times New Roman"/>
          <w:sz w:val="24"/>
          <w:szCs w:val="24"/>
        </w:rPr>
      </w:pPr>
    </w:p>
    <w:p w:rsidR="00856380" w:rsidRPr="0014143C" w:rsidRDefault="00856380" w:rsidP="005B6060">
      <w:pPr>
        <w:spacing w:after="0" w:line="240" w:lineRule="auto"/>
        <w:rPr>
          <w:rFonts w:ascii="Times New Roman" w:hAnsi="Times New Roman"/>
          <w:sz w:val="24"/>
          <w:szCs w:val="24"/>
        </w:rPr>
      </w:pPr>
      <w:r w:rsidRPr="0014143C">
        <w:rPr>
          <w:rFonts w:ascii="Times New Roman" w:hAnsi="Times New Roman"/>
          <w:sz w:val="24"/>
          <w:szCs w:val="24"/>
        </w:rPr>
        <w:t>Anotācijas V, VI sadaļa – p</w:t>
      </w:r>
      <w:r w:rsidRPr="0014143C">
        <w:rPr>
          <w:rFonts w:ascii="Times New Roman" w:hAnsi="Times New Roman"/>
          <w:sz w:val="24"/>
          <w:szCs w:val="24"/>
          <w:lang w:eastAsia="lv-LV"/>
        </w:rPr>
        <w:t>rojekts šo jomu neskar.</w:t>
      </w:r>
    </w:p>
    <w:p w:rsidR="00856380" w:rsidRPr="0014143C" w:rsidRDefault="00856380" w:rsidP="009E0E56">
      <w:pPr>
        <w:spacing w:after="0" w:line="240" w:lineRule="auto"/>
        <w:rPr>
          <w:rFonts w:ascii="Times New Roman" w:hAnsi="Times New Roman"/>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14"/>
        <w:gridCol w:w="3735"/>
        <w:gridCol w:w="5082"/>
      </w:tblGrid>
      <w:tr w:rsidR="00856380" w:rsidRPr="0014143C" w:rsidTr="00906DC5">
        <w:trPr>
          <w:trHeight w:val="263"/>
        </w:trPr>
        <w:tc>
          <w:tcPr>
            <w:tcW w:w="0" w:type="auto"/>
            <w:gridSpan w:val="3"/>
            <w:tcBorders>
              <w:top w:val="outset" w:sz="6" w:space="0" w:color="auto"/>
              <w:bottom w:val="outset" w:sz="6" w:space="0" w:color="auto"/>
            </w:tcBorders>
          </w:tcPr>
          <w:p w:rsidR="00856380" w:rsidRPr="0014143C" w:rsidRDefault="00856380" w:rsidP="0072762F">
            <w:pPr>
              <w:spacing w:after="0" w:line="240" w:lineRule="auto"/>
              <w:jc w:val="center"/>
              <w:rPr>
                <w:rFonts w:ascii="Times New Roman" w:hAnsi="Times New Roman"/>
                <w:b/>
                <w:bCs/>
                <w:sz w:val="24"/>
                <w:szCs w:val="24"/>
                <w:lang w:eastAsia="lv-LV"/>
              </w:rPr>
            </w:pPr>
            <w:r w:rsidRPr="0014143C">
              <w:rPr>
                <w:rFonts w:ascii="Times New Roman" w:hAnsi="Times New Roman"/>
                <w:b/>
                <w:bCs/>
                <w:sz w:val="24"/>
                <w:szCs w:val="24"/>
                <w:lang w:eastAsia="lv-LV"/>
              </w:rPr>
              <w:t>VII. Tiesību akta projekta izpildes nodrošināšana un tās ietekme uz institūcijām</w:t>
            </w:r>
          </w:p>
        </w:tc>
      </w:tr>
      <w:tr w:rsidR="00856380" w:rsidRPr="0014143C" w:rsidTr="00906DC5">
        <w:tc>
          <w:tcPr>
            <w:tcW w:w="170"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1.</w:t>
            </w:r>
          </w:p>
        </w:tc>
        <w:tc>
          <w:tcPr>
            <w:tcW w:w="2018" w:type="pct"/>
            <w:tcBorders>
              <w:top w:val="outset" w:sz="6" w:space="0" w:color="auto"/>
              <w:left w:val="outset" w:sz="6" w:space="0" w:color="auto"/>
              <w:bottom w:val="outset" w:sz="6" w:space="0" w:color="auto"/>
              <w:right w:val="outset" w:sz="6" w:space="0" w:color="auto"/>
            </w:tcBorders>
          </w:tcPr>
          <w:p w:rsidR="00856380" w:rsidRPr="0014143C" w:rsidRDefault="00856380" w:rsidP="006645AE">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izpildē iesaistītās institūcijas</w:t>
            </w:r>
          </w:p>
        </w:tc>
        <w:tc>
          <w:tcPr>
            <w:tcW w:w="2747" w:type="pct"/>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 xml:space="preserve">Valsts un pašvaldību institūciju </w:t>
            </w:r>
            <w:r w:rsidRPr="0014143C">
              <w:rPr>
                <w:rFonts w:ascii="Times New Roman" w:hAnsi="Times New Roman"/>
                <w:spacing w:val="-6"/>
                <w:sz w:val="24"/>
                <w:szCs w:val="24"/>
              </w:rPr>
              <w:t>amatpersonu un darbinieku atlīdzības likuma 7.</w:t>
            </w:r>
            <w:r w:rsidRPr="0014143C">
              <w:rPr>
                <w:rFonts w:ascii="Times New Roman" w:hAnsi="Times New Roman"/>
                <w:spacing w:val="-6"/>
                <w:sz w:val="24"/>
                <w:szCs w:val="24"/>
                <w:vertAlign w:val="superscript"/>
              </w:rPr>
              <w:t>1 </w:t>
            </w:r>
            <w:r w:rsidRPr="0014143C">
              <w:rPr>
                <w:rFonts w:ascii="Times New Roman" w:hAnsi="Times New Roman"/>
                <w:spacing w:val="-6"/>
                <w:sz w:val="24"/>
                <w:szCs w:val="24"/>
              </w:rPr>
              <w:t>pantā un 11.panta pirmajā daļā noteiktās valsts un pašvaldību institūcijas</w:t>
            </w:r>
          </w:p>
        </w:tc>
      </w:tr>
      <w:tr w:rsidR="00856380" w:rsidRPr="0014143C" w:rsidTr="00906DC5">
        <w:tc>
          <w:tcPr>
            <w:tcW w:w="170"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2.</w:t>
            </w:r>
          </w:p>
        </w:tc>
        <w:tc>
          <w:tcPr>
            <w:tcW w:w="2018" w:type="pct"/>
            <w:tcBorders>
              <w:top w:val="outset" w:sz="6" w:space="0" w:color="auto"/>
              <w:left w:val="outset" w:sz="6" w:space="0" w:color="auto"/>
              <w:bottom w:val="outset" w:sz="6" w:space="0" w:color="auto"/>
              <w:right w:val="outset" w:sz="6" w:space="0" w:color="auto"/>
            </w:tcBorders>
          </w:tcPr>
          <w:p w:rsidR="00856380" w:rsidRPr="0014143C" w:rsidRDefault="00856380" w:rsidP="006645AE">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funkcijām</w:t>
            </w:r>
          </w:p>
        </w:tc>
        <w:tc>
          <w:tcPr>
            <w:tcW w:w="2747" w:type="pct"/>
            <w:tcBorders>
              <w:top w:val="outset" w:sz="6" w:space="0" w:color="auto"/>
              <w:left w:val="outset" w:sz="6" w:space="0" w:color="auto"/>
              <w:bottom w:val="outset" w:sz="6" w:space="0" w:color="auto"/>
            </w:tcBorders>
          </w:tcPr>
          <w:p w:rsidR="00856380" w:rsidRPr="0014143C" w:rsidRDefault="00856380" w:rsidP="00906DC5">
            <w:pPr>
              <w:spacing w:after="0" w:line="240" w:lineRule="auto"/>
              <w:rPr>
                <w:rFonts w:ascii="Times New Roman" w:hAnsi="Times New Roman"/>
                <w:spacing w:val="-6"/>
                <w:sz w:val="24"/>
                <w:szCs w:val="24"/>
                <w:lang w:eastAsia="lv-LV"/>
              </w:rPr>
            </w:pPr>
            <w:r w:rsidRPr="0014143C">
              <w:rPr>
                <w:rFonts w:ascii="Times New Roman" w:hAnsi="Times New Roman"/>
                <w:color w:val="000000"/>
                <w:spacing w:val="-6"/>
                <w:sz w:val="24"/>
                <w:szCs w:val="24"/>
                <w:lang w:eastAsia="lv-LV"/>
              </w:rPr>
              <w:t>Normatīvā akta izpilde tiks nodrošināta anotācijas VII sadaļas 1.punktā minēto institūciju līdzšinējo funkciju ietvaros</w:t>
            </w:r>
          </w:p>
        </w:tc>
      </w:tr>
      <w:tr w:rsidR="00856380" w:rsidRPr="0014143C" w:rsidTr="00906DC5">
        <w:tc>
          <w:tcPr>
            <w:tcW w:w="170"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3.</w:t>
            </w:r>
          </w:p>
        </w:tc>
        <w:tc>
          <w:tcPr>
            <w:tcW w:w="2018" w:type="pct"/>
            <w:tcBorders>
              <w:top w:val="outset" w:sz="6" w:space="0" w:color="auto"/>
              <w:left w:val="outset" w:sz="6" w:space="0" w:color="auto"/>
              <w:bottom w:val="outset" w:sz="6" w:space="0" w:color="auto"/>
              <w:right w:val="outset" w:sz="6" w:space="0" w:color="auto"/>
            </w:tcBorders>
          </w:tcPr>
          <w:p w:rsidR="00856380" w:rsidRPr="0014143C" w:rsidRDefault="00856380" w:rsidP="005A5919">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rsidR="00856380" w:rsidRPr="0014143C" w:rsidRDefault="00856380" w:rsidP="005A5919">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Jaunu institūciju izveide</w:t>
            </w:r>
          </w:p>
        </w:tc>
        <w:tc>
          <w:tcPr>
            <w:tcW w:w="2747" w:type="pct"/>
            <w:tcBorders>
              <w:top w:val="outset" w:sz="6" w:space="0" w:color="auto"/>
              <w:left w:val="outset" w:sz="6" w:space="0" w:color="auto"/>
              <w:bottom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170"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4.</w:t>
            </w:r>
          </w:p>
        </w:tc>
        <w:tc>
          <w:tcPr>
            <w:tcW w:w="2018" w:type="pct"/>
            <w:tcBorders>
              <w:top w:val="outset" w:sz="6" w:space="0" w:color="auto"/>
              <w:left w:val="outset" w:sz="6" w:space="0" w:color="auto"/>
              <w:bottom w:val="outset" w:sz="6" w:space="0" w:color="auto"/>
              <w:right w:val="outset" w:sz="6" w:space="0" w:color="auto"/>
            </w:tcBorders>
          </w:tcPr>
          <w:p w:rsidR="00856380" w:rsidRPr="0014143C" w:rsidRDefault="00856380" w:rsidP="005A5919">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rsidR="00856380" w:rsidRPr="0014143C" w:rsidRDefault="00856380" w:rsidP="005A5919">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Esošu institūciju likvidācija</w:t>
            </w:r>
          </w:p>
        </w:tc>
        <w:tc>
          <w:tcPr>
            <w:tcW w:w="2747" w:type="pct"/>
            <w:tcBorders>
              <w:top w:val="outset" w:sz="6" w:space="0" w:color="auto"/>
              <w:left w:val="outset" w:sz="6" w:space="0" w:color="auto"/>
              <w:bottom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170"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5.</w:t>
            </w:r>
          </w:p>
        </w:tc>
        <w:tc>
          <w:tcPr>
            <w:tcW w:w="2018" w:type="pct"/>
            <w:tcBorders>
              <w:top w:val="outset" w:sz="6" w:space="0" w:color="auto"/>
              <w:left w:val="outset" w:sz="6" w:space="0" w:color="auto"/>
              <w:bottom w:val="outset" w:sz="6" w:space="0" w:color="auto"/>
              <w:right w:val="outset" w:sz="6" w:space="0" w:color="auto"/>
            </w:tcBorders>
          </w:tcPr>
          <w:p w:rsidR="00856380" w:rsidRPr="0014143C" w:rsidRDefault="00856380" w:rsidP="005A5919">
            <w:pPr>
              <w:spacing w:after="0" w:line="240" w:lineRule="auto"/>
              <w:rPr>
                <w:rFonts w:ascii="Times New Roman" w:hAnsi="Times New Roman"/>
                <w:sz w:val="24"/>
                <w:szCs w:val="24"/>
                <w:lang w:eastAsia="lv-LV"/>
              </w:rPr>
            </w:pPr>
            <w:r w:rsidRPr="0014143C">
              <w:rPr>
                <w:rFonts w:ascii="Times New Roman" w:hAnsi="Times New Roman"/>
                <w:sz w:val="24"/>
                <w:szCs w:val="24"/>
                <w:lang w:eastAsia="lv-LV"/>
              </w:rPr>
              <w:t>Projekta izpildes ietekme uz pārvaldes institucionālo struktūru.</w:t>
            </w:r>
          </w:p>
          <w:p w:rsidR="00856380" w:rsidRPr="0014143C" w:rsidRDefault="00856380" w:rsidP="005A5919">
            <w:pPr>
              <w:spacing w:after="0" w:line="240" w:lineRule="auto"/>
              <w:rPr>
                <w:rFonts w:ascii="Times New Roman" w:hAnsi="Times New Roman"/>
                <w:spacing w:val="-6"/>
                <w:sz w:val="24"/>
                <w:szCs w:val="24"/>
                <w:lang w:eastAsia="lv-LV"/>
              </w:rPr>
            </w:pPr>
            <w:r w:rsidRPr="0014143C">
              <w:rPr>
                <w:rFonts w:ascii="Times New Roman" w:hAnsi="Times New Roman"/>
                <w:spacing w:val="-6"/>
                <w:sz w:val="24"/>
                <w:szCs w:val="24"/>
                <w:lang w:eastAsia="lv-LV"/>
              </w:rPr>
              <w:t>Esošu institūciju reorganizācija</w:t>
            </w:r>
          </w:p>
        </w:tc>
        <w:tc>
          <w:tcPr>
            <w:tcW w:w="2747" w:type="pct"/>
            <w:tcBorders>
              <w:top w:val="outset" w:sz="6" w:space="0" w:color="auto"/>
              <w:left w:val="outset" w:sz="6" w:space="0" w:color="auto"/>
              <w:bottom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Projekts šo jomu neskar</w:t>
            </w:r>
          </w:p>
        </w:tc>
      </w:tr>
      <w:tr w:rsidR="00856380" w:rsidRPr="0014143C" w:rsidTr="00906DC5">
        <w:tc>
          <w:tcPr>
            <w:tcW w:w="170" w:type="pct"/>
            <w:tcBorders>
              <w:top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6.</w:t>
            </w:r>
          </w:p>
        </w:tc>
        <w:tc>
          <w:tcPr>
            <w:tcW w:w="2018" w:type="pct"/>
            <w:tcBorders>
              <w:top w:val="outset" w:sz="6" w:space="0" w:color="auto"/>
              <w:left w:val="outset" w:sz="6" w:space="0" w:color="auto"/>
              <w:bottom w:val="outset" w:sz="6" w:space="0" w:color="auto"/>
              <w:right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Cita informācija</w:t>
            </w:r>
          </w:p>
        </w:tc>
        <w:tc>
          <w:tcPr>
            <w:tcW w:w="2747" w:type="pct"/>
            <w:tcBorders>
              <w:top w:val="outset" w:sz="6" w:space="0" w:color="auto"/>
              <w:left w:val="outset" w:sz="6" w:space="0" w:color="auto"/>
              <w:bottom w:val="outset" w:sz="6" w:space="0" w:color="auto"/>
            </w:tcBorders>
          </w:tcPr>
          <w:p w:rsidR="00856380" w:rsidRPr="0014143C" w:rsidRDefault="00856380" w:rsidP="009E0E56">
            <w:pPr>
              <w:spacing w:before="100" w:beforeAutospacing="1" w:after="100" w:afterAutospacing="1" w:line="240" w:lineRule="auto"/>
              <w:rPr>
                <w:rFonts w:ascii="Times New Roman" w:hAnsi="Times New Roman"/>
                <w:sz w:val="24"/>
                <w:szCs w:val="24"/>
                <w:lang w:eastAsia="lv-LV"/>
              </w:rPr>
            </w:pPr>
            <w:r w:rsidRPr="0014143C">
              <w:rPr>
                <w:rFonts w:ascii="Times New Roman" w:hAnsi="Times New Roman"/>
                <w:sz w:val="24"/>
                <w:szCs w:val="24"/>
                <w:lang w:eastAsia="lv-LV"/>
              </w:rPr>
              <w:t>Nav</w:t>
            </w:r>
          </w:p>
        </w:tc>
      </w:tr>
    </w:tbl>
    <w:p w:rsidR="00856380" w:rsidRPr="0014143C" w:rsidRDefault="00856380" w:rsidP="003C7568">
      <w:pPr>
        <w:pStyle w:val="naisf"/>
        <w:spacing w:before="0" w:after="0"/>
        <w:ind w:firstLine="0"/>
      </w:pPr>
    </w:p>
    <w:p w:rsidR="00856380" w:rsidRPr="0014143C" w:rsidRDefault="00856380" w:rsidP="003C7568">
      <w:pPr>
        <w:pStyle w:val="naisf"/>
        <w:spacing w:before="0" w:after="0"/>
        <w:ind w:firstLine="0"/>
      </w:pPr>
    </w:p>
    <w:p w:rsidR="00856380" w:rsidRPr="0014143C" w:rsidRDefault="00856380" w:rsidP="003C7568">
      <w:pPr>
        <w:pStyle w:val="naisf"/>
        <w:spacing w:before="0" w:after="0"/>
        <w:ind w:firstLine="0"/>
      </w:pPr>
    </w:p>
    <w:p w:rsidR="00856380" w:rsidRPr="0014143C" w:rsidRDefault="00856380" w:rsidP="001049C0">
      <w:pPr>
        <w:tabs>
          <w:tab w:val="left" w:pos="6840"/>
        </w:tabs>
        <w:spacing w:after="0" w:line="240" w:lineRule="auto"/>
        <w:ind w:firstLine="993"/>
        <w:rPr>
          <w:rFonts w:ascii="Times New Roman" w:hAnsi="Times New Roman"/>
          <w:sz w:val="28"/>
          <w:szCs w:val="28"/>
        </w:rPr>
      </w:pPr>
      <w:r w:rsidRPr="0014143C">
        <w:rPr>
          <w:rFonts w:ascii="Times New Roman" w:hAnsi="Times New Roman"/>
          <w:sz w:val="28"/>
          <w:szCs w:val="28"/>
        </w:rPr>
        <w:t xml:space="preserve">Ministru prezidents                                                </w:t>
      </w:r>
      <w:r w:rsidRPr="0014143C">
        <w:rPr>
          <w:rFonts w:ascii="Times New Roman" w:hAnsi="Times New Roman"/>
          <w:sz w:val="28"/>
          <w:szCs w:val="28"/>
        </w:rPr>
        <w:tab/>
        <w:t>V.Dombrovskis</w:t>
      </w:r>
    </w:p>
    <w:p w:rsidR="00856380" w:rsidRPr="0014143C" w:rsidRDefault="00856380" w:rsidP="00844525">
      <w:pPr>
        <w:tabs>
          <w:tab w:val="left" w:pos="6840"/>
        </w:tabs>
        <w:spacing w:after="0" w:line="240" w:lineRule="auto"/>
        <w:rPr>
          <w:rFonts w:ascii="Times New Roman" w:hAnsi="Times New Roman"/>
          <w:sz w:val="24"/>
          <w:szCs w:val="24"/>
        </w:rPr>
      </w:pPr>
    </w:p>
    <w:p w:rsidR="00856380" w:rsidRPr="0014143C" w:rsidRDefault="00856380" w:rsidP="00844525">
      <w:pPr>
        <w:tabs>
          <w:tab w:val="left" w:pos="6840"/>
        </w:tabs>
        <w:spacing w:after="0" w:line="240" w:lineRule="auto"/>
        <w:rPr>
          <w:rFonts w:ascii="Times New Roman" w:hAnsi="Times New Roman"/>
          <w:sz w:val="24"/>
          <w:szCs w:val="24"/>
        </w:rPr>
      </w:pPr>
    </w:p>
    <w:p w:rsidR="00856380" w:rsidRPr="0014143C" w:rsidRDefault="00856380" w:rsidP="001049C0">
      <w:pPr>
        <w:tabs>
          <w:tab w:val="left" w:pos="6840"/>
        </w:tabs>
        <w:spacing w:after="0" w:line="240" w:lineRule="auto"/>
        <w:ind w:firstLine="993"/>
        <w:rPr>
          <w:rFonts w:ascii="Times New Roman" w:hAnsi="Times New Roman"/>
          <w:sz w:val="28"/>
          <w:szCs w:val="28"/>
        </w:rPr>
      </w:pPr>
      <w:r w:rsidRPr="0014143C">
        <w:rPr>
          <w:rFonts w:ascii="Times New Roman" w:hAnsi="Times New Roman"/>
          <w:sz w:val="28"/>
          <w:szCs w:val="28"/>
        </w:rPr>
        <w:t>Vizē:</w:t>
      </w:r>
    </w:p>
    <w:p w:rsidR="00856380" w:rsidRPr="0014143C" w:rsidRDefault="00856380" w:rsidP="00906DC5">
      <w:pPr>
        <w:tabs>
          <w:tab w:val="left" w:pos="6800"/>
        </w:tabs>
        <w:spacing w:after="0" w:line="240" w:lineRule="auto"/>
        <w:ind w:firstLine="993"/>
        <w:rPr>
          <w:rFonts w:ascii="Times New Roman" w:hAnsi="Times New Roman"/>
          <w:sz w:val="28"/>
          <w:szCs w:val="28"/>
        </w:rPr>
      </w:pPr>
      <w:r w:rsidRPr="0014143C">
        <w:rPr>
          <w:rFonts w:ascii="Times New Roman" w:hAnsi="Times New Roman"/>
          <w:sz w:val="28"/>
          <w:szCs w:val="28"/>
        </w:rPr>
        <w:t xml:space="preserve">Valsts kancelejas direktore </w:t>
      </w:r>
      <w:r w:rsidRPr="0014143C">
        <w:rPr>
          <w:rFonts w:ascii="Times New Roman" w:hAnsi="Times New Roman"/>
          <w:sz w:val="28"/>
          <w:szCs w:val="28"/>
          <w:u w:val="single"/>
        </w:rPr>
        <w:tab/>
      </w:r>
      <w:r w:rsidRPr="0014143C">
        <w:rPr>
          <w:rFonts w:ascii="Times New Roman" w:hAnsi="Times New Roman"/>
          <w:sz w:val="28"/>
          <w:szCs w:val="28"/>
        </w:rPr>
        <w:t>E.Dreimane</w:t>
      </w:r>
    </w:p>
    <w:p w:rsidR="00856380" w:rsidRPr="0014143C" w:rsidRDefault="00856380" w:rsidP="00844525">
      <w:pPr>
        <w:tabs>
          <w:tab w:val="left" w:pos="6840"/>
        </w:tabs>
        <w:spacing w:after="0" w:line="240" w:lineRule="auto"/>
        <w:rPr>
          <w:rFonts w:ascii="Times New Roman" w:hAnsi="Times New Roman"/>
          <w:sz w:val="28"/>
          <w:szCs w:val="28"/>
        </w:rPr>
      </w:pPr>
    </w:p>
    <w:p w:rsidR="00856380" w:rsidRPr="0014143C" w:rsidRDefault="00856380" w:rsidP="005B6060">
      <w:pPr>
        <w:spacing w:after="0" w:line="240" w:lineRule="auto"/>
        <w:ind w:firstLine="720"/>
        <w:jc w:val="both"/>
        <w:rPr>
          <w:rFonts w:ascii="Times New Roman" w:hAnsi="Times New Roman"/>
          <w:sz w:val="16"/>
          <w:szCs w:val="16"/>
        </w:rPr>
      </w:pPr>
      <w:r w:rsidRPr="0014143C">
        <w:rPr>
          <w:rFonts w:ascii="Times New Roman" w:hAnsi="Times New Roman"/>
          <w:sz w:val="16"/>
          <w:szCs w:val="16"/>
        </w:rPr>
        <w:t>04.04.2011</w:t>
      </w:r>
    </w:p>
    <w:p w:rsidR="00856380" w:rsidRPr="0014143C" w:rsidRDefault="00856380" w:rsidP="005B6060">
      <w:pPr>
        <w:spacing w:after="0" w:line="240" w:lineRule="auto"/>
        <w:ind w:firstLine="720"/>
        <w:jc w:val="both"/>
        <w:rPr>
          <w:rFonts w:ascii="Times New Roman" w:hAnsi="Times New Roman"/>
          <w:sz w:val="16"/>
          <w:szCs w:val="16"/>
        </w:rPr>
      </w:pPr>
      <w:r w:rsidRPr="0014143C">
        <w:rPr>
          <w:rFonts w:ascii="Times New Roman" w:hAnsi="Times New Roman"/>
          <w:sz w:val="16"/>
          <w:szCs w:val="16"/>
        </w:rPr>
        <w:t>903</w:t>
      </w:r>
    </w:p>
    <w:p w:rsidR="00856380" w:rsidRPr="0014143C" w:rsidRDefault="00856380" w:rsidP="005B6060">
      <w:pPr>
        <w:spacing w:after="0" w:line="240" w:lineRule="auto"/>
        <w:ind w:firstLine="720"/>
        <w:jc w:val="both"/>
        <w:rPr>
          <w:rFonts w:ascii="Times New Roman" w:hAnsi="Times New Roman"/>
          <w:sz w:val="16"/>
          <w:szCs w:val="16"/>
        </w:rPr>
      </w:pPr>
      <w:r w:rsidRPr="0014143C">
        <w:rPr>
          <w:rFonts w:ascii="Times New Roman" w:hAnsi="Times New Roman"/>
          <w:sz w:val="16"/>
          <w:szCs w:val="16"/>
        </w:rPr>
        <w:t>Medvecka 67082907</w:t>
      </w:r>
    </w:p>
    <w:p w:rsidR="00856380" w:rsidRPr="0014143C" w:rsidRDefault="00856380" w:rsidP="005B6060">
      <w:pPr>
        <w:spacing w:after="0" w:line="240" w:lineRule="auto"/>
        <w:ind w:firstLine="720"/>
        <w:jc w:val="both"/>
        <w:rPr>
          <w:rFonts w:ascii="Times New Roman" w:hAnsi="Times New Roman"/>
          <w:sz w:val="16"/>
          <w:szCs w:val="16"/>
        </w:rPr>
      </w:pPr>
      <w:r w:rsidRPr="0014143C">
        <w:rPr>
          <w:rFonts w:ascii="Times New Roman" w:hAnsi="Times New Roman"/>
          <w:sz w:val="16"/>
          <w:szCs w:val="16"/>
        </w:rPr>
        <w:t>Baiba.Medvecka@mk.gov.lv</w:t>
      </w:r>
    </w:p>
    <w:sectPr w:rsidR="00856380" w:rsidRPr="0014143C" w:rsidSect="00906DC5">
      <w:headerReference w:type="default" r:id="rId7"/>
      <w:footerReference w:type="default" r:id="rId8"/>
      <w:headerReference w:type="firs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80" w:rsidRDefault="00856380" w:rsidP="00CC4CA4">
      <w:pPr>
        <w:spacing w:after="0" w:line="240" w:lineRule="auto"/>
      </w:pPr>
      <w:r>
        <w:separator/>
      </w:r>
    </w:p>
  </w:endnote>
  <w:endnote w:type="continuationSeparator" w:id="0">
    <w:p w:rsidR="00856380" w:rsidRDefault="00856380"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80" w:rsidRPr="00906DC5" w:rsidRDefault="00856380" w:rsidP="00906DC5">
    <w:pPr>
      <w:pStyle w:val="Footer"/>
      <w:rPr>
        <w:rFonts w:ascii="Times New Roman" w:hAnsi="Times New Roman"/>
        <w:sz w:val="16"/>
        <w:szCs w:val="16"/>
      </w:rPr>
    </w:pPr>
    <w:r w:rsidRPr="00906DC5">
      <w:rPr>
        <w:rFonts w:ascii="Times New Roman" w:hAnsi="Times New Roman"/>
        <w:sz w:val="16"/>
        <w:szCs w:val="16"/>
      </w:rPr>
      <w:t>MKAnot_040411; Valsts un pašvaldību institūciju amatu katalogs (20086)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80" w:rsidRPr="00906DC5" w:rsidRDefault="00856380" w:rsidP="00E26E10">
    <w:pPr>
      <w:pStyle w:val="Footer"/>
      <w:rPr>
        <w:rFonts w:ascii="Times New Roman" w:hAnsi="Times New Roman"/>
        <w:sz w:val="16"/>
        <w:szCs w:val="16"/>
      </w:rPr>
    </w:pPr>
    <w:r w:rsidRPr="00906DC5">
      <w:rPr>
        <w:rFonts w:ascii="Times New Roman" w:hAnsi="Times New Roman"/>
        <w:sz w:val="16"/>
        <w:szCs w:val="16"/>
      </w:rPr>
      <w:t>MKAnot_040411; Valsts un pašvaldību institūciju amatu katalogs (20086)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80" w:rsidRDefault="00856380" w:rsidP="00CC4CA4">
      <w:pPr>
        <w:spacing w:after="0" w:line="240" w:lineRule="auto"/>
      </w:pPr>
      <w:r>
        <w:separator/>
      </w:r>
    </w:p>
  </w:footnote>
  <w:footnote w:type="continuationSeparator" w:id="0">
    <w:p w:rsidR="00856380" w:rsidRDefault="00856380"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80" w:rsidRPr="00CC4CA4" w:rsidRDefault="00856380" w:rsidP="00CC4CA4">
    <w:pPr>
      <w:pStyle w:val="Header"/>
      <w:tabs>
        <w:tab w:val="clear" w:pos="4153"/>
        <w:tab w:val="clear" w:pos="8306"/>
      </w:tabs>
      <w:jc w:val="center"/>
      <w:rPr>
        <w:rFonts w:ascii="Times New Roman" w:hAnsi="Times New Roman"/>
        <w:sz w:val="24"/>
        <w:szCs w:val="24"/>
      </w:rPr>
    </w:pPr>
    <w:r w:rsidRPr="00CC4CA4">
      <w:rPr>
        <w:rFonts w:ascii="Times New Roman" w:hAnsi="Times New Roman"/>
        <w:sz w:val="24"/>
        <w:szCs w:val="24"/>
      </w:rPr>
      <w:fldChar w:fldCharType="begin"/>
    </w:r>
    <w:r w:rsidRPr="00CC4CA4">
      <w:rPr>
        <w:rFonts w:ascii="Times New Roman" w:hAnsi="Times New Roman"/>
        <w:sz w:val="24"/>
        <w:szCs w:val="24"/>
      </w:rPr>
      <w:instrText xml:space="preserve"> PAGE   \* MERGEFORMAT </w:instrText>
    </w:r>
    <w:r w:rsidRPr="00CC4CA4">
      <w:rPr>
        <w:rFonts w:ascii="Times New Roman" w:hAnsi="Times New Roman"/>
        <w:sz w:val="24"/>
        <w:szCs w:val="24"/>
      </w:rPr>
      <w:fldChar w:fldCharType="separate"/>
    </w:r>
    <w:r>
      <w:rPr>
        <w:rFonts w:ascii="Times New Roman" w:hAnsi="Times New Roman"/>
        <w:noProof/>
        <w:sz w:val="24"/>
        <w:szCs w:val="24"/>
      </w:rPr>
      <w:t>3</w:t>
    </w:r>
    <w:r w:rsidRPr="00CC4CA4">
      <w:rPr>
        <w:rFonts w:ascii="Times New Roman" w:hAnsi="Times New Roman"/>
        <w:sz w:val="24"/>
        <w:szCs w:val="24"/>
      </w:rPr>
      <w:fldChar w:fldCharType="end"/>
    </w:r>
  </w:p>
  <w:p w:rsidR="00856380" w:rsidRDefault="00856380" w:rsidP="00CC4CA4">
    <w:pPr>
      <w:pStyle w:val="Header"/>
      <w:tabs>
        <w:tab w:val="clear" w:pos="4153"/>
        <w:tab w:val="clear" w:pos="830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80" w:rsidRDefault="00856380" w:rsidP="003873C4">
    <w:pPr>
      <w:pStyle w:val="Header"/>
      <w:tabs>
        <w:tab w:val="clear" w:pos="4153"/>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2E18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942F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48C5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C0FB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D5641AF"/>
    <w:multiLevelType w:val="hybridMultilevel"/>
    <w:tmpl w:val="0E7C0626"/>
    <w:lvl w:ilvl="0" w:tplc="8E1A079A">
      <w:start w:val="20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3">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28C4781"/>
    <w:multiLevelType w:val="hybridMultilevel"/>
    <w:tmpl w:val="5CBAC65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4"/>
  </w:num>
  <w:num w:numId="15">
    <w:abstractNumId w:val="15"/>
  </w:num>
  <w:num w:numId="16">
    <w:abstractNumId w:val="12"/>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19E"/>
    <w:rsid w:val="000167F0"/>
    <w:rsid w:val="00027993"/>
    <w:rsid w:val="00030306"/>
    <w:rsid w:val="000308CF"/>
    <w:rsid w:val="0006508B"/>
    <w:rsid w:val="00067B16"/>
    <w:rsid w:val="00083036"/>
    <w:rsid w:val="00083D6A"/>
    <w:rsid w:val="0008674A"/>
    <w:rsid w:val="00087B86"/>
    <w:rsid w:val="00095CF1"/>
    <w:rsid w:val="00097A20"/>
    <w:rsid w:val="000A4EBB"/>
    <w:rsid w:val="000B30A8"/>
    <w:rsid w:val="000B369F"/>
    <w:rsid w:val="000B6B2F"/>
    <w:rsid w:val="000C276C"/>
    <w:rsid w:val="000D6DD1"/>
    <w:rsid w:val="000E04CE"/>
    <w:rsid w:val="000E0AE0"/>
    <w:rsid w:val="000E65C8"/>
    <w:rsid w:val="000E724D"/>
    <w:rsid w:val="000F125E"/>
    <w:rsid w:val="00104447"/>
    <w:rsid w:val="001049C0"/>
    <w:rsid w:val="00113B5F"/>
    <w:rsid w:val="00115F58"/>
    <w:rsid w:val="00130B58"/>
    <w:rsid w:val="00130C4E"/>
    <w:rsid w:val="0013395E"/>
    <w:rsid w:val="0014143C"/>
    <w:rsid w:val="00151E40"/>
    <w:rsid w:val="00160480"/>
    <w:rsid w:val="00193560"/>
    <w:rsid w:val="001A2512"/>
    <w:rsid w:val="001A4E4C"/>
    <w:rsid w:val="001B5DBD"/>
    <w:rsid w:val="001C38C7"/>
    <w:rsid w:val="001C6435"/>
    <w:rsid w:val="001D4041"/>
    <w:rsid w:val="001D7DA4"/>
    <w:rsid w:val="001E06B9"/>
    <w:rsid w:val="001E7051"/>
    <w:rsid w:val="00216DE7"/>
    <w:rsid w:val="0021784B"/>
    <w:rsid w:val="002200D7"/>
    <w:rsid w:val="002242B3"/>
    <w:rsid w:val="002242D3"/>
    <w:rsid w:val="00225EFA"/>
    <w:rsid w:val="0023584F"/>
    <w:rsid w:val="00236B12"/>
    <w:rsid w:val="002424E4"/>
    <w:rsid w:val="00244BC4"/>
    <w:rsid w:val="00247535"/>
    <w:rsid w:val="00257029"/>
    <w:rsid w:val="00261DD5"/>
    <w:rsid w:val="00267DC3"/>
    <w:rsid w:val="00272971"/>
    <w:rsid w:val="00273F64"/>
    <w:rsid w:val="002768C0"/>
    <w:rsid w:val="002816EA"/>
    <w:rsid w:val="00295AF9"/>
    <w:rsid w:val="002A367B"/>
    <w:rsid w:val="002B6B13"/>
    <w:rsid w:val="002B7CE4"/>
    <w:rsid w:val="002C7859"/>
    <w:rsid w:val="002D12BB"/>
    <w:rsid w:val="002D562C"/>
    <w:rsid w:val="002E61ED"/>
    <w:rsid w:val="002F4E32"/>
    <w:rsid w:val="002F5D85"/>
    <w:rsid w:val="002F7069"/>
    <w:rsid w:val="002F754E"/>
    <w:rsid w:val="003003B2"/>
    <w:rsid w:val="003016A1"/>
    <w:rsid w:val="00301EA7"/>
    <w:rsid w:val="00303D15"/>
    <w:rsid w:val="00307109"/>
    <w:rsid w:val="00314D7A"/>
    <w:rsid w:val="00321017"/>
    <w:rsid w:val="00325EA1"/>
    <w:rsid w:val="00330130"/>
    <w:rsid w:val="0033111C"/>
    <w:rsid w:val="00335769"/>
    <w:rsid w:val="0033795A"/>
    <w:rsid w:val="003437B8"/>
    <w:rsid w:val="003504A5"/>
    <w:rsid w:val="00351F65"/>
    <w:rsid w:val="0035384C"/>
    <w:rsid w:val="0036428F"/>
    <w:rsid w:val="0037490A"/>
    <w:rsid w:val="0038664D"/>
    <w:rsid w:val="003873C4"/>
    <w:rsid w:val="00387BE3"/>
    <w:rsid w:val="0039597E"/>
    <w:rsid w:val="00395B6B"/>
    <w:rsid w:val="003A6190"/>
    <w:rsid w:val="003B0974"/>
    <w:rsid w:val="003B5276"/>
    <w:rsid w:val="003B6F34"/>
    <w:rsid w:val="003C7568"/>
    <w:rsid w:val="003D3596"/>
    <w:rsid w:val="003E459D"/>
    <w:rsid w:val="003F0BB9"/>
    <w:rsid w:val="003F37A4"/>
    <w:rsid w:val="00402F24"/>
    <w:rsid w:val="004072A3"/>
    <w:rsid w:val="00413FEF"/>
    <w:rsid w:val="004157A4"/>
    <w:rsid w:val="00431CFC"/>
    <w:rsid w:val="00440A23"/>
    <w:rsid w:val="00452F0F"/>
    <w:rsid w:val="004552BA"/>
    <w:rsid w:val="00464FE4"/>
    <w:rsid w:val="00472B38"/>
    <w:rsid w:val="00474D7A"/>
    <w:rsid w:val="00476783"/>
    <w:rsid w:val="004804EE"/>
    <w:rsid w:val="004852ED"/>
    <w:rsid w:val="00485E99"/>
    <w:rsid w:val="00492530"/>
    <w:rsid w:val="00492F71"/>
    <w:rsid w:val="004A64C7"/>
    <w:rsid w:val="004C1C1C"/>
    <w:rsid w:val="004C3A81"/>
    <w:rsid w:val="004C4428"/>
    <w:rsid w:val="004D1D03"/>
    <w:rsid w:val="004D7D96"/>
    <w:rsid w:val="004E2DCD"/>
    <w:rsid w:val="004E4EE1"/>
    <w:rsid w:val="004F4655"/>
    <w:rsid w:val="00500141"/>
    <w:rsid w:val="00500854"/>
    <w:rsid w:val="00504116"/>
    <w:rsid w:val="00505577"/>
    <w:rsid w:val="005158FE"/>
    <w:rsid w:val="00524EF6"/>
    <w:rsid w:val="00533621"/>
    <w:rsid w:val="0055703F"/>
    <w:rsid w:val="005609DA"/>
    <w:rsid w:val="00564F6D"/>
    <w:rsid w:val="005658E9"/>
    <w:rsid w:val="005911D3"/>
    <w:rsid w:val="0059138F"/>
    <w:rsid w:val="00592BA1"/>
    <w:rsid w:val="00597227"/>
    <w:rsid w:val="00597273"/>
    <w:rsid w:val="005A5919"/>
    <w:rsid w:val="005B20DD"/>
    <w:rsid w:val="005B5335"/>
    <w:rsid w:val="005B6060"/>
    <w:rsid w:val="005C013E"/>
    <w:rsid w:val="005D104B"/>
    <w:rsid w:val="005D1951"/>
    <w:rsid w:val="005D1E8D"/>
    <w:rsid w:val="005D24B5"/>
    <w:rsid w:val="005D69F3"/>
    <w:rsid w:val="005E54C9"/>
    <w:rsid w:val="005F1DC3"/>
    <w:rsid w:val="005F739F"/>
    <w:rsid w:val="00604C45"/>
    <w:rsid w:val="006131FF"/>
    <w:rsid w:val="0062170F"/>
    <w:rsid w:val="00625223"/>
    <w:rsid w:val="00625BB9"/>
    <w:rsid w:val="00633460"/>
    <w:rsid w:val="00633F77"/>
    <w:rsid w:val="006373B2"/>
    <w:rsid w:val="00641B6C"/>
    <w:rsid w:val="0064214A"/>
    <w:rsid w:val="00651E58"/>
    <w:rsid w:val="00653CAE"/>
    <w:rsid w:val="006565CF"/>
    <w:rsid w:val="00664349"/>
    <w:rsid w:val="006645AE"/>
    <w:rsid w:val="00665A5C"/>
    <w:rsid w:val="00671B3C"/>
    <w:rsid w:val="006739D8"/>
    <w:rsid w:val="0067785D"/>
    <w:rsid w:val="00683214"/>
    <w:rsid w:val="00694012"/>
    <w:rsid w:val="006965B3"/>
    <w:rsid w:val="006A008A"/>
    <w:rsid w:val="006B1751"/>
    <w:rsid w:val="006B75CD"/>
    <w:rsid w:val="006B7E5F"/>
    <w:rsid w:val="006D0A3D"/>
    <w:rsid w:val="006D30B2"/>
    <w:rsid w:val="006E5AEF"/>
    <w:rsid w:val="006F3FCE"/>
    <w:rsid w:val="006F3FFB"/>
    <w:rsid w:val="007043BF"/>
    <w:rsid w:val="00706C70"/>
    <w:rsid w:val="00707C83"/>
    <w:rsid w:val="0071371D"/>
    <w:rsid w:val="007179E5"/>
    <w:rsid w:val="00721CC7"/>
    <w:rsid w:val="0072762F"/>
    <w:rsid w:val="00732D32"/>
    <w:rsid w:val="00744FDB"/>
    <w:rsid w:val="007471EE"/>
    <w:rsid w:val="00747E20"/>
    <w:rsid w:val="00751083"/>
    <w:rsid w:val="00756AFB"/>
    <w:rsid w:val="0076055C"/>
    <w:rsid w:val="00766D43"/>
    <w:rsid w:val="00775695"/>
    <w:rsid w:val="00780D1C"/>
    <w:rsid w:val="00783314"/>
    <w:rsid w:val="00791185"/>
    <w:rsid w:val="00796EB7"/>
    <w:rsid w:val="007B120A"/>
    <w:rsid w:val="007B3435"/>
    <w:rsid w:val="007B484A"/>
    <w:rsid w:val="007D0CDE"/>
    <w:rsid w:val="007D1BE0"/>
    <w:rsid w:val="007D4694"/>
    <w:rsid w:val="007D678C"/>
    <w:rsid w:val="007D713D"/>
    <w:rsid w:val="007D7435"/>
    <w:rsid w:val="007D74DC"/>
    <w:rsid w:val="007E06F8"/>
    <w:rsid w:val="007F6339"/>
    <w:rsid w:val="007F7100"/>
    <w:rsid w:val="008008BF"/>
    <w:rsid w:val="00804354"/>
    <w:rsid w:val="0080443B"/>
    <w:rsid w:val="008202FD"/>
    <w:rsid w:val="00823EF6"/>
    <w:rsid w:val="00824EBB"/>
    <w:rsid w:val="008251D3"/>
    <w:rsid w:val="00827BDA"/>
    <w:rsid w:val="00831D13"/>
    <w:rsid w:val="00832BE5"/>
    <w:rsid w:val="00844525"/>
    <w:rsid w:val="00856380"/>
    <w:rsid w:val="00863803"/>
    <w:rsid w:val="00864FBE"/>
    <w:rsid w:val="00865EFD"/>
    <w:rsid w:val="00867484"/>
    <w:rsid w:val="0086765F"/>
    <w:rsid w:val="008751F2"/>
    <w:rsid w:val="00880CBF"/>
    <w:rsid w:val="008841CF"/>
    <w:rsid w:val="008964CF"/>
    <w:rsid w:val="008A1110"/>
    <w:rsid w:val="008A74D5"/>
    <w:rsid w:val="008B3C0F"/>
    <w:rsid w:val="008B479B"/>
    <w:rsid w:val="008C2FDB"/>
    <w:rsid w:val="008D1A10"/>
    <w:rsid w:val="008D2E13"/>
    <w:rsid w:val="008D349A"/>
    <w:rsid w:val="008D39CE"/>
    <w:rsid w:val="008D477A"/>
    <w:rsid w:val="008E119E"/>
    <w:rsid w:val="008E2102"/>
    <w:rsid w:val="008F6392"/>
    <w:rsid w:val="00906DC5"/>
    <w:rsid w:val="00911E5F"/>
    <w:rsid w:val="00912B6F"/>
    <w:rsid w:val="00913339"/>
    <w:rsid w:val="00923815"/>
    <w:rsid w:val="00926106"/>
    <w:rsid w:val="00926B2B"/>
    <w:rsid w:val="00941BAD"/>
    <w:rsid w:val="00945348"/>
    <w:rsid w:val="00950E29"/>
    <w:rsid w:val="009556F5"/>
    <w:rsid w:val="0095722D"/>
    <w:rsid w:val="00961503"/>
    <w:rsid w:val="00963F7B"/>
    <w:rsid w:val="009717E7"/>
    <w:rsid w:val="009809B0"/>
    <w:rsid w:val="009868BF"/>
    <w:rsid w:val="00993E9E"/>
    <w:rsid w:val="00997809"/>
    <w:rsid w:val="009A012C"/>
    <w:rsid w:val="009A3A62"/>
    <w:rsid w:val="009A7CD0"/>
    <w:rsid w:val="009B4C31"/>
    <w:rsid w:val="009C0625"/>
    <w:rsid w:val="009C2AD0"/>
    <w:rsid w:val="009D066A"/>
    <w:rsid w:val="009D235F"/>
    <w:rsid w:val="009D6F5F"/>
    <w:rsid w:val="009E0E56"/>
    <w:rsid w:val="009E7CC0"/>
    <w:rsid w:val="009F1E8B"/>
    <w:rsid w:val="009F1F57"/>
    <w:rsid w:val="009F5734"/>
    <w:rsid w:val="00A060B8"/>
    <w:rsid w:val="00A11BD8"/>
    <w:rsid w:val="00A20F95"/>
    <w:rsid w:val="00A228A7"/>
    <w:rsid w:val="00A2550F"/>
    <w:rsid w:val="00A31A78"/>
    <w:rsid w:val="00A45404"/>
    <w:rsid w:val="00A4635D"/>
    <w:rsid w:val="00A47916"/>
    <w:rsid w:val="00A504A4"/>
    <w:rsid w:val="00A617D6"/>
    <w:rsid w:val="00A628F6"/>
    <w:rsid w:val="00A64CC4"/>
    <w:rsid w:val="00A858D1"/>
    <w:rsid w:val="00A90549"/>
    <w:rsid w:val="00A9481C"/>
    <w:rsid w:val="00A96D61"/>
    <w:rsid w:val="00AA22A7"/>
    <w:rsid w:val="00AA23C4"/>
    <w:rsid w:val="00AA55AC"/>
    <w:rsid w:val="00AB1E9F"/>
    <w:rsid w:val="00AB23FB"/>
    <w:rsid w:val="00AB242F"/>
    <w:rsid w:val="00AB44D3"/>
    <w:rsid w:val="00AC6FF1"/>
    <w:rsid w:val="00AC7A68"/>
    <w:rsid w:val="00AC7FC2"/>
    <w:rsid w:val="00AF160A"/>
    <w:rsid w:val="00AF7B22"/>
    <w:rsid w:val="00B0026A"/>
    <w:rsid w:val="00B009A8"/>
    <w:rsid w:val="00B03556"/>
    <w:rsid w:val="00B05D87"/>
    <w:rsid w:val="00B12871"/>
    <w:rsid w:val="00B15B5C"/>
    <w:rsid w:val="00B2247B"/>
    <w:rsid w:val="00B25653"/>
    <w:rsid w:val="00B35496"/>
    <w:rsid w:val="00B378CC"/>
    <w:rsid w:val="00B40342"/>
    <w:rsid w:val="00B40776"/>
    <w:rsid w:val="00B47F5A"/>
    <w:rsid w:val="00B5602A"/>
    <w:rsid w:val="00B657F0"/>
    <w:rsid w:val="00B65914"/>
    <w:rsid w:val="00B82481"/>
    <w:rsid w:val="00B8438E"/>
    <w:rsid w:val="00B90F61"/>
    <w:rsid w:val="00B95C52"/>
    <w:rsid w:val="00BA034A"/>
    <w:rsid w:val="00BA1FD3"/>
    <w:rsid w:val="00BA4043"/>
    <w:rsid w:val="00BB2F35"/>
    <w:rsid w:val="00BB4EE2"/>
    <w:rsid w:val="00BC5004"/>
    <w:rsid w:val="00BD2C2A"/>
    <w:rsid w:val="00BD487C"/>
    <w:rsid w:val="00BF1A14"/>
    <w:rsid w:val="00BF533A"/>
    <w:rsid w:val="00C0097E"/>
    <w:rsid w:val="00C055AC"/>
    <w:rsid w:val="00C11D59"/>
    <w:rsid w:val="00C14001"/>
    <w:rsid w:val="00C14609"/>
    <w:rsid w:val="00C1512B"/>
    <w:rsid w:val="00C153E7"/>
    <w:rsid w:val="00C172DB"/>
    <w:rsid w:val="00C3732A"/>
    <w:rsid w:val="00C62753"/>
    <w:rsid w:val="00C63084"/>
    <w:rsid w:val="00C6622B"/>
    <w:rsid w:val="00C73971"/>
    <w:rsid w:val="00C741AF"/>
    <w:rsid w:val="00C86F48"/>
    <w:rsid w:val="00C9261A"/>
    <w:rsid w:val="00CA0809"/>
    <w:rsid w:val="00CA357F"/>
    <w:rsid w:val="00CA35A4"/>
    <w:rsid w:val="00CA62BD"/>
    <w:rsid w:val="00CA6FF0"/>
    <w:rsid w:val="00CA7629"/>
    <w:rsid w:val="00CB331B"/>
    <w:rsid w:val="00CB546F"/>
    <w:rsid w:val="00CB6407"/>
    <w:rsid w:val="00CC046C"/>
    <w:rsid w:val="00CC13B1"/>
    <w:rsid w:val="00CC1E4C"/>
    <w:rsid w:val="00CC2FE6"/>
    <w:rsid w:val="00CC4CA4"/>
    <w:rsid w:val="00CC4D1D"/>
    <w:rsid w:val="00CE3F10"/>
    <w:rsid w:val="00CE59D1"/>
    <w:rsid w:val="00CE6AFC"/>
    <w:rsid w:val="00CF13A5"/>
    <w:rsid w:val="00CF3EC4"/>
    <w:rsid w:val="00CF6093"/>
    <w:rsid w:val="00D02B76"/>
    <w:rsid w:val="00D03448"/>
    <w:rsid w:val="00D30DEE"/>
    <w:rsid w:val="00D3677F"/>
    <w:rsid w:val="00D42762"/>
    <w:rsid w:val="00D437E1"/>
    <w:rsid w:val="00D449EA"/>
    <w:rsid w:val="00D4540D"/>
    <w:rsid w:val="00D478E1"/>
    <w:rsid w:val="00D50464"/>
    <w:rsid w:val="00D51C4E"/>
    <w:rsid w:val="00D562F5"/>
    <w:rsid w:val="00D643C7"/>
    <w:rsid w:val="00D6689A"/>
    <w:rsid w:val="00D836B8"/>
    <w:rsid w:val="00D87980"/>
    <w:rsid w:val="00D9546D"/>
    <w:rsid w:val="00D971DC"/>
    <w:rsid w:val="00DA11D9"/>
    <w:rsid w:val="00DA19EF"/>
    <w:rsid w:val="00DA36A5"/>
    <w:rsid w:val="00DA6AF5"/>
    <w:rsid w:val="00DB7DF0"/>
    <w:rsid w:val="00DD2763"/>
    <w:rsid w:val="00DD533C"/>
    <w:rsid w:val="00DD6445"/>
    <w:rsid w:val="00DD6811"/>
    <w:rsid w:val="00DF1DE4"/>
    <w:rsid w:val="00DF6A14"/>
    <w:rsid w:val="00E03675"/>
    <w:rsid w:val="00E04632"/>
    <w:rsid w:val="00E20041"/>
    <w:rsid w:val="00E26E10"/>
    <w:rsid w:val="00E41DBA"/>
    <w:rsid w:val="00E507DB"/>
    <w:rsid w:val="00E51E35"/>
    <w:rsid w:val="00E53E0D"/>
    <w:rsid w:val="00E547F3"/>
    <w:rsid w:val="00E60686"/>
    <w:rsid w:val="00E60F9C"/>
    <w:rsid w:val="00E63A7B"/>
    <w:rsid w:val="00E64120"/>
    <w:rsid w:val="00E74525"/>
    <w:rsid w:val="00E81F6D"/>
    <w:rsid w:val="00E828A7"/>
    <w:rsid w:val="00E84FC6"/>
    <w:rsid w:val="00E92D74"/>
    <w:rsid w:val="00E93D69"/>
    <w:rsid w:val="00E96556"/>
    <w:rsid w:val="00EA06E0"/>
    <w:rsid w:val="00EA23FF"/>
    <w:rsid w:val="00EB48A0"/>
    <w:rsid w:val="00EC1C8E"/>
    <w:rsid w:val="00EC652F"/>
    <w:rsid w:val="00ED09A3"/>
    <w:rsid w:val="00ED1F73"/>
    <w:rsid w:val="00ED43C5"/>
    <w:rsid w:val="00EE7881"/>
    <w:rsid w:val="00EF4C4D"/>
    <w:rsid w:val="00F0180C"/>
    <w:rsid w:val="00F0250E"/>
    <w:rsid w:val="00F10FBB"/>
    <w:rsid w:val="00F11EFC"/>
    <w:rsid w:val="00F17585"/>
    <w:rsid w:val="00F21246"/>
    <w:rsid w:val="00F2391D"/>
    <w:rsid w:val="00F36326"/>
    <w:rsid w:val="00F3703F"/>
    <w:rsid w:val="00F47D15"/>
    <w:rsid w:val="00F57956"/>
    <w:rsid w:val="00F63716"/>
    <w:rsid w:val="00F7034F"/>
    <w:rsid w:val="00F72725"/>
    <w:rsid w:val="00F73270"/>
    <w:rsid w:val="00F777B3"/>
    <w:rsid w:val="00F82212"/>
    <w:rsid w:val="00F94ABE"/>
    <w:rsid w:val="00F95314"/>
    <w:rsid w:val="00F95553"/>
    <w:rsid w:val="00F95A08"/>
    <w:rsid w:val="00FA2113"/>
    <w:rsid w:val="00FA29D9"/>
    <w:rsid w:val="00FA6C62"/>
    <w:rsid w:val="00FC60C1"/>
    <w:rsid w:val="00FD258E"/>
    <w:rsid w:val="00FE0DFF"/>
    <w:rsid w:val="00FE399C"/>
    <w:rsid w:val="00FE4089"/>
    <w:rsid w:val="00FF3549"/>
    <w:rsid w:val="00FF464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 w:val="20"/>
      <w:lang w:eastAsia="en-US"/>
    </w:rPr>
  </w:style>
  <w:style w:type="paragraph" w:styleId="Heading4">
    <w:name w:val="heading 4"/>
    <w:basedOn w:val="Normal"/>
    <w:link w:val="Heading4Char"/>
    <w:uiPriority w:val="99"/>
    <w:qFormat/>
    <w:rsid w:val="009E0E56"/>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E0E56"/>
    <w:rPr>
      <w:rFonts w:ascii="Times New Roman" w:hAnsi="Times New Roman" w:cs="Times New Roman"/>
      <w:b/>
      <w:bCs/>
      <w:sz w:val="24"/>
      <w:szCs w:val="24"/>
    </w:rPr>
  </w:style>
  <w:style w:type="paragraph" w:styleId="Header">
    <w:name w:val="header"/>
    <w:basedOn w:val="Normal"/>
    <w:link w:val="HeaderChar"/>
    <w:uiPriority w:val="99"/>
    <w:rsid w:val="00CC4CA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C4CA4"/>
    <w:rPr>
      <w:rFonts w:eastAsia="Times New Roman" w:cs="Times New Roman"/>
    </w:rPr>
  </w:style>
  <w:style w:type="paragraph" w:styleId="Footer">
    <w:name w:val="footer"/>
    <w:basedOn w:val="Normal"/>
    <w:link w:val="FooterChar"/>
    <w:uiPriority w:val="99"/>
    <w:rsid w:val="00CC4C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CC4CA4"/>
    <w:rPr>
      <w:rFonts w:eastAsia="Times New Roman" w:cs="Times New Roman"/>
    </w:rPr>
  </w:style>
  <w:style w:type="paragraph" w:customStyle="1" w:styleId="naisf">
    <w:name w:val="naisf"/>
    <w:basedOn w:val="Normal"/>
    <w:uiPriority w:val="99"/>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B2247B"/>
    <w:rPr>
      <w:rFonts w:cs="Times New Roman"/>
      <w:color w:val="0000FF"/>
      <w:u w:val="single"/>
    </w:rPr>
  </w:style>
  <w:style w:type="paragraph" w:styleId="BodyText">
    <w:name w:val="Body Text"/>
    <w:basedOn w:val="Normal"/>
    <w:link w:val="BodyTextChar"/>
    <w:uiPriority w:val="99"/>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locked/>
    <w:rsid w:val="00B2247B"/>
    <w:rPr>
      <w:rFonts w:ascii="Times New Roman" w:hAnsi="Times New Roman" w:cs="Times New Roman"/>
      <w:b/>
      <w:bCs/>
      <w:sz w:val="24"/>
      <w:szCs w:val="24"/>
      <w:lang w:eastAsia="en-US"/>
    </w:rPr>
  </w:style>
  <w:style w:type="paragraph" w:styleId="BalloonText">
    <w:name w:val="Balloon Text"/>
    <w:basedOn w:val="Normal"/>
    <w:link w:val="BalloonTextChar"/>
    <w:uiPriority w:val="99"/>
    <w:semiHidden/>
    <w:rsid w:val="00B2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47B"/>
    <w:rPr>
      <w:rFonts w:ascii="Tahoma" w:hAnsi="Tahoma" w:cs="Tahoma"/>
      <w:sz w:val="16"/>
      <w:szCs w:val="16"/>
      <w:lang w:eastAsia="en-US"/>
    </w:rPr>
  </w:style>
  <w:style w:type="paragraph" w:styleId="Revision">
    <w:name w:val="Revision"/>
    <w:hidden/>
    <w:uiPriority w:val="99"/>
    <w:semiHidden/>
    <w:rsid w:val="00671B3C"/>
    <w:rPr>
      <w:sz w:val="20"/>
      <w:lang w:eastAsia="en-US"/>
    </w:rPr>
  </w:style>
  <w:style w:type="paragraph" w:styleId="BodyText2">
    <w:name w:val="Body Text 2"/>
    <w:basedOn w:val="Normal"/>
    <w:link w:val="BodyText2Char"/>
    <w:uiPriority w:val="99"/>
    <w:rsid w:val="005B20DD"/>
    <w:pPr>
      <w:spacing w:after="120" w:line="480" w:lineRule="auto"/>
    </w:pPr>
  </w:style>
  <w:style w:type="character" w:customStyle="1" w:styleId="BodyText2Char">
    <w:name w:val="Body Text 2 Char"/>
    <w:basedOn w:val="DefaultParagraphFont"/>
    <w:link w:val="BodyText2"/>
    <w:uiPriority w:val="99"/>
    <w:semiHidden/>
    <w:locked/>
    <w:rsid w:val="009C2AD0"/>
    <w:rPr>
      <w:rFonts w:cs="Times New Roman"/>
      <w:sz w:val="20"/>
      <w:lang w:eastAsia="en-US"/>
    </w:rPr>
  </w:style>
  <w:style w:type="paragraph" w:styleId="BodyTextIndent">
    <w:name w:val="Body Text Indent"/>
    <w:basedOn w:val="Normal"/>
    <w:link w:val="BodyTextIndentChar"/>
    <w:uiPriority w:val="99"/>
    <w:rsid w:val="005B20DD"/>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locked/>
    <w:rsid w:val="009C2AD0"/>
    <w:rPr>
      <w:rFonts w:cs="Times New Roman"/>
      <w:sz w:val="20"/>
      <w:lang w:eastAsia="en-US"/>
    </w:rPr>
  </w:style>
  <w:style w:type="paragraph" w:customStyle="1" w:styleId="naisvisr">
    <w:name w:val="naisvisr"/>
    <w:basedOn w:val="Normal"/>
    <w:uiPriority w:val="99"/>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basedOn w:val="DefaultParagraphFont"/>
    <w:uiPriority w:val="99"/>
    <w:semiHidden/>
    <w:rsid w:val="00E84FC6"/>
    <w:rPr>
      <w:rFonts w:cs="Times New Roman"/>
      <w:sz w:val="16"/>
      <w:szCs w:val="16"/>
    </w:rPr>
  </w:style>
  <w:style w:type="paragraph" w:styleId="CommentText">
    <w:name w:val="annotation text"/>
    <w:basedOn w:val="Normal"/>
    <w:link w:val="CommentTextChar"/>
    <w:uiPriority w:val="99"/>
    <w:semiHidden/>
    <w:rsid w:val="00E84FC6"/>
    <w:rPr>
      <w:szCs w:val="20"/>
    </w:rPr>
  </w:style>
  <w:style w:type="character" w:customStyle="1" w:styleId="CommentTextChar">
    <w:name w:val="Comment Text Char"/>
    <w:basedOn w:val="DefaultParagraphFont"/>
    <w:link w:val="CommentText"/>
    <w:uiPriority w:val="99"/>
    <w:semiHidden/>
    <w:locked/>
    <w:rsid w:val="00E84FC6"/>
    <w:rPr>
      <w:rFonts w:cs="Times New Roman"/>
      <w:lang w:eastAsia="en-US"/>
    </w:rPr>
  </w:style>
  <w:style w:type="paragraph" w:styleId="CommentSubject">
    <w:name w:val="annotation subject"/>
    <w:basedOn w:val="CommentText"/>
    <w:next w:val="CommentText"/>
    <w:link w:val="CommentSubjectChar"/>
    <w:uiPriority w:val="99"/>
    <w:semiHidden/>
    <w:rsid w:val="00E84FC6"/>
    <w:rPr>
      <w:b/>
      <w:bCs/>
    </w:rPr>
  </w:style>
  <w:style w:type="character" w:customStyle="1" w:styleId="CommentSubjectChar">
    <w:name w:val="Comment Subject Char"/>
    <w:basedOn w:val="CommentTextChar"/>
    <w:link w:val="CommentSubject"/>
    <w:uiPriority w:val="99"/>
    <w:semiHidden/>
    <w:locked/>
    <w:rsid w:val="00E84FC6"/>
    <w:rPr>
      <w:b/>
      <w:bCs/>
    </w:rPr>
  </w:style>
  <w:style w:type="paragraph" w:styleId="NoSpacing">
    <w:name w:val="No Spacing"/>
    <w:uiPriority w:val="99"/>
    <w:qFormat/>
    <w:rsid w:val="00AB44D3"/>
    <w:rPr>
      <w:sz w:val="20"/>
      <w:lang w:eastAsia="en-US"/>
    </w:rPr>
  </w:style>
  <w:style w:type="paragraph" w:styleId="BodyTextIndent2">
    <w:name w:val="Body Text Indent 2"/>
    <w:basedOn w:val="Normal"/>
    <w:link w:val="BodyTextIndent2Char"/>
    <w:uiPriority w:val="99"/>
    <w:rsid w:val="00261DD5"/>
    <w:pPr>
      <w:spacing w:after="120" w:line="480" w:lineRule="auto"/>
      <w:ind w:left="283"/>
    </w:pPr>
  </w:style>
  <w:style w:type="character" w:customStyle="1" w:styleId="BodyTextIndent2Char">
    <w:name w:val="Body Text Indent 2 Char"/>
    <w:basedOn w:val="DefaultParagraphFont"/>
    <w:link w:val="BodyTextIndent2"/>
    <w:uiPriority w:val="99"/>
    <w:locked/>
    <w:rsid w:val="00261DD5"/>
    <w:rPr>
      <w:rFonts w:cs="Times New Roman"/>
      <w:sz w:val="22"/>
      <w:szCs w:val="22"/>
      <w:lang w:eastAsia="en-US"/>
    </w:rPr>
  </w:style>
  <w:style w:type="paragraph" w:customStyle="1" w:styleId="naisnod">
    <w:name w:val="naisnod"/>
    <w:basedOn w:val="Normal"/>
    <w:uiPriority w:val="99"/>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92610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27766380">
      <w:marLeft w:val="0"/>
      <w:marRight w:val="0"/>
      <w:marTop w:val="0"/>
      <w:marBottom w:val="0"/>
      <w:divBdr>
        <w:top w:val="none" w:sz="0" w:space="0" w:color="auto"/>
        <w:left w:val="none" w:sz="0" w:space="0" w:color="auto"/>
        <w:bottom w:val="none" w:sz="0" w:space="0" w:color="auto"/>
        <w:right w:val="none" w:sz="0" w:space="0" w:color="auto"/>
      </w:divBdr>
    </w:div>
    <w:div w:id="527766381">
      <w:marLeft w:val="0"/>
      <w:marRight w:val="0"/>
      <w:marTop w:val="0"/>
      <w:marBottom w:val="0"/>
      <w:divBdr>
        <w:top w:val="none" w:sz="0" w:space="0" w:color="auto"/>
        <w:left w:val="none" w:sz="0" w:space="0" w:color="auto"/>
        <w:bottom w:val="none" w:sz="0" w:space="0" w:color="auto"/>
        <w:right w:val="none" w:sz="0" w:space="0" w:color="auto"/>
      </w:divBdr>
    </w:div>
    <w:div w:id="527766382">
      <w:marLeft w:val="0"/>
      <w:marRight w:val="0"/>
      <w:marTop w:val="0"/>
      <w:marBottom w:val="0"/>
      <w:divBdr>
        <w:top w:val="none" w:sz="0" w:space="0" w:color="auto"/>
        <w:left w:val="none" w:sz="0" w:space="0" w:color="auto"/>
        <w:bottom w:val="none" w:sz="0" w:space="0" w:color="auto"/>
        <w:right w:val="none" w:sz="0" w:space="0" w:color="auto"/>
      </w:divBdr>
    </w:div>
    <w:div w:id="527766383">
      <w:marLeft w:val="0"/>
      <w:marRight w:val="0"/>
      <w:marTop w:val="0"/>
      <w:marBottom w:val="0"/>
      <w:divBdr>
        <w:top w:val="none" w:sz="0" w:space="0" w:color="auto"/>
        <w:left w:val="none" w:sz="0" w:space="0" w:color="auto"/>
        <w:bottom w:val="none" w:sz="0" w:space="0" w:color="auto"/>
        <w:right w:val="none" w:sz="0" w:space="0" w:color="auto"/>
      </w:divBdr>
    </w:div>
    <w:div w:id="527766384">
      <w:marLeft w:val="0"/>
      <w:marRight w:val="0"/>
      <w:marTop w:val="0"/>
      <w:marBottom w:val="0"/>
      <w:divBdr>
        <w:top w:val="none" w:sz="0" w:space="0" w:color="auto"/>
        <w:left w:val="none" w:sz="0" w:space="0" w:color="auto"/>
        <w:bottom w:val="none" w:sz="0" w:space="0" w:color="auto"/>
        <w:right w:val="none" w:sz="0" w:space="0" w:color="auto"/>
      </w:divBdr>
    </w:div>
    <w:div w:id="527766385">
      <w:marLeft w:val="0"/>
      <w:marRight w:val="0"/>
      <w:marTop w:val="0"/>
      <w:marBottom w:val="0"/>
      <w:divBdr>
        <w:top w:val="none" w:sz="0" w:space="0" w:color="auto"/>
        <w:left w:val="none" w:sz="0" w:space="0" w:color="auto"/>
        <w:bottom w:val="none" w:sz="0" w:space="0" w:color="auto"/>
        <w:right w:val="none" w:sz="0" w:space="0" w:color="auto"/>
      </w:divBdr>
    </w:div>
    <w:div w:id="527766386">
      <w:marLeft w:val="0"/>
      <w:marRight w:val="0"/>
      <w:marTop w:val="0"/>
      <w:marBottom w:val="0"/>
      <w:divBdr>
        <w:top w:val="none" w:sz="0" w:space="0" w:color="auto"/>
        <w:left w:val="none" w:sz="0" w:space="0" w:color="auto"/>
        <w:bottom w:val="none" w:sz="0" w:space="0" w:color="auto"/>
        <w:right w:val="none" w:sz="0" w:space="0" w:color="auto"/>
      </w:divBdr>
    </w:div>
    <w:div w:id="527766387">
      <w:marLeft w:val="0"/>
      <w:marRight w:val="0"/>
      <w:marTop w:val="0"/>
      <w:marBottom w:val="0"/>
      <w:divBdr>
        <w:top w:val="none" w:sz="0" w:space="0" w:color="auto"/>
        <w:left w:val="none" w:sz="0" w:space="0" w:color="auto"/>
        <w:bottom w:val="none" w:sz="0" w:space="0" w:color="auto"/>
        <w:right w:val="none" w:sz="0" w:space="0" w:color="auto"/>
      </w:divBdr>
    </w:div>
    <w:div w:id="527766388">
      <w:marLeft w:val="0"/>
      <w:marRight w:val="0"/>
      <w:marTop w:val="0"/>
      <w:marBottom w:val="0"/>
      <w:divBdr>
        <w:top w:val="none" w:sz="0" w:space="0" w:color="auto"/>
        <w:left w:val="none" w:sz="0" w:space="0" w:color="auto"/>
        <w:bottom w:val="none" w:sz="0" w:space="0" w:color="auto"/>
        <w:right w:val="none" w:sz="0" w:space="0" w:color="auto"/>
      </w:divBdr>
    </w:div>
    <w:div w:id="527766389">
      <w:marLeft w:val="0"/>
      <w:marRight w:val="0"/>
      <w:marTop w:val="0"/>
      <w:marBottom w:val="0"/>
      <w:divBdr>
        <w:top w:val="none" w:sz="0" w:space="0" w:color="auto"/>
        <w:left w:val="none" w:sz="0" w:space="0" w:color="auto"/>
        <w:bottom w:val="none" w:sz="0" w:space="0" w:color="auto"/>
        <w:right w:val="none" w:sz="0" w:space="0" w:color="auto"/>
      </w:divBdr>
    </w:div>
    <w:div w:id="527766390">
      <w:marLeft w:val="0"/>
      <w:marRight w:val="0"/>
      <w:marTop w:val="0"/>
      <w:marBottom w:val="0"/>
      <w:divBdr>
        <w:top w:val="none" w:sz="0" w:space="0" w:color="auto"/>
        <w:left w:val="none" w:sz="0" w:space="0" w:color="auto"/>
        <w:bottom w:val="none" w:sz="0" w:space="0" w:color="auto"/>
        <w:right w:val="none" w:sz="0" w:space="0" w:color="auto"/>
      </w:divBdr>
    </w:div>
    <w:div w:id="527766391">
      <w:marLeft w:val="0"/>
      <w:marRight w:val="0"/>
      <w:marTop w:val="0"/>
      <w:marBottom w:val="0"/>
      <w:divBdr>
        <w:top w:val="none" w:sz="0" w:space="0" w:color="auto"/>
        <w:left w:val="none" w:sz="0" w:space="0" w:color="auto"/>
        <w:bottom w:val="none" w:sz="0" w:space="0" w:color="auto"/>
        <w:right w:val="none" w:sz="0" w:space="0" w:color="auto"/>
      </w:divBdr>
    </w:div>
    <w:div w:id="527766392">
      <w:marLeft w:val="0"/>
      <w:marRight w:val="0"/>
      <w:marTop w:val="0"/>
      <w:marBottom w:val="0"/>
      <w:divBdr>
        <w:top w:val="none" w:sz="0" w:space="0" w:color="auto"/>
        <w:left w:val="none" w:sz="0" w:space="0" w:color="auto"/>
        <w:bottom w:val="none" w:sz="0" w:space="0" w:color="auto"/>
        <w:right w:val="none" w:sz="0" w:space="0" w:color="auto"/>
      </w:divBdr>
    </w:div>
    <w:div w:id="527766393">
      <w:marLeft w:val="0"/>
      <w:marRight w:val="0"/>
      <w:marTop w:val="0"/>
      <w:marBottom w:val="0"/>
      <w:divBdr>
        <w:top w:val="none" w:sz="0" w:space="0" w:color="auto"/>
        <w:left w:val="none" w:sz="0" w:space="0" w:color="auto"/>
        <w:bottom w:val="none" w:sz="0" w:space="0" w:color="auto"/>
        <w:right w:val="none" w:sz="0" w:space="0" w:color="auto"/>
      </w:divBdr>
    </w:div>
    <w:div w:id="527766394">
      <w:marLeft w:val="0"/>
      <w:marRight w:val="0"/>
      <w:marTop w:val="0"/>
      <w:marBottom w:val="0"/>
      <w:divBdr>
        <w:top w:val="none" w:sz="0" w:space="0" w:color="auto"/>
        <w:left w:val="none" w:sz="0" w:space="0" w:color="auto"/>
        <w:bottom w:val="none" w:sz="0" w:space="0" w:color="auto"/>
        <w:right w:val="none" w:sz="0" w:space="0" w:color="auto"/>
      </w:divBdr>
    </w:div>
    <w:div w:id="527766395">
      <w:marLeft w:val="0"/>
      <w:marRight w:val="0"/>
      <w:marTop w:val="0"/>
      <w:marBottom w:val="0"/>
      <w:divBdr>
        <w:top w:val="none" w:sz="0" w:space="0" w:color="auto"/>
        <w:left w:val="none" w:sz="0" w:space="0" w:color="auto"/>
        <w:bottom w:val="none" w:sz="0" w:space="0" w:color="auto"/>
        <w:right w:val="none" w:sz="0" w:space="0" w:color="auto"/>
      </w:divBdr>
    </w:div>
    <w:div w:id="527766396">
      <w:marLeft w:val="0"/>
      <w:marRight w:val="0"/>
      <w:marTop w:val="0"/>
      <w:marBottom w:val="0"/>
      <w:divBdr>
        <w:top w:val="none" w:sz="0" w:space="0" w:color="auto"/>
        <w:left w:val="none" w:sz="0" w:space="0" w:color="auto"/>
        <w:bottom w:val="none" w:sz="0" w:space="0" w:color="auto"/>
        <w:right w:val="none" w:sz="0" w:space="0" w:color="auto"/>
      </w:divBdr>
    </w:div>
    <w:div w:id="527766397">
      <w:marLeft w:val="0"/>
      <w:marRight w:val="0"/>
      <w:marTop w:val="0"/>
      <w:marBottom w:val="0"/>
      <w:divBdr>
        <w:top w:val="none" w:sz="0" w:space="0" w:color="auto"/>
        <w:left w:val="none" w:sz="0" w:space="0" w:color="auto"/>
        <w:bottom w:val="none" w:sz="0" w:space="0" w:color="auto"/>
        <w:right w:val="none" w:sz="0" w:space="0" w:color="auto"/>
      </w:divBdr>
    </w:div>
    <w:div w:id="527766398">
      <w:marLeft w:val="0"/>
      <w:marRight w:val="0"/>
      <w:marTop w:val="0"/>
      <w:marBottom w:val="0"/>
      <w:divBdr>
        <w:top w:val="none" w:sz="0" w:space="0" w:color="auto"/>
        <w:left w:val="none" w:sz="0" w:space="0" w:color="auto"/>
        <w:bottom w:val="none" w:sz="0" w:space="0" w:color="auto"/>
        <w:right w:val="none" w:sz="0" w:space="0" w:color="auto"/>
      </w:divBdr>
    </w:div>
    <w:div w:id="527766399">
      <w:marLeft w:val="0"/>
      <w:marRight w:val="0"/>
      <w:marTop w:val="0"/>
      <w:marBottom w:val="0"/>
      <w:divBdr>
        <w:top w:val="none" w:sz="0" w:space="0" w:color="auto"/>
        <w:left w:val="none" w:sz="0" w:space="0" w:color="auto"/>
        <w:bottom w:val="none" w:sz="0" w:space="0" w:color="auto"/>
        <w:right w:val="none" w:sz="0" w:space="0" w:color="auto"/>
      </w:divBdr>
    </w:div>
    <w:div w:id="527766400">
      <w:marLeft w:val="0"/>
      <w:marRight w:val="0"/>
      <w:marTop w:val="0"/>
      <w:marBottom w:val="0"/>
      <w:divBdr>
        <w:top w:val="none" w:sz="0" w:space="0" w:color="auto"/>
        <w:left w:val="none" w:sz="0" w:space="0" w:color="auto"/>
        <w:bottom w:val="none" w:sz="0" w:space="0" w:color="auto"/>
        <w:right w:val="none" w:sz="0" w:space="0" w:color="auto"/>
      </w:divBdr>
    </w:div>
    <w:div w:id="527766401">
      <w:marLeft w:val="0"/>
      <w:marRight w:val="0"/>
      <w:marTop w:val="0"/>
      <w:marBottom w:val="0"/>
      <w:divBdr>
        <w:top w:val="none" w:sz="0" w:space="0" w:color="auto"/>
        <w:left w:val="none" w:sz="0" w:space="0" w:color="auto"/>
        <w:bottom w:val="none" w:sz="0" w:space="0" w:color="auto"/>
        <w:right w:val="none" w:sz="0" w:space="0" w:color="auto"/>
      </w:divBdr>
    </w:div>
    <w:div w:id="527766402">
      <w:marLeft w:val="0"/>
      <w:marRight w:val="0"/>
      <w:marTop w:val="0"/>
      <w:marBottom w:val="0"/>
      <w:divBdr>
        <w:top w:val="none" w:sz="0" w:space="0" w:color="auto"/>
        <w:left w:val="none" w:sz="0" w:space="0" w:color="auto"/>
        <w:bottom w:val="none" w:sz="0" w:space="0" w:color="auto"/>
        <w:right w:val="none" w:sz="0" w:space="0" w:color="auto"/>
      </w:divBdr>
    </w:div>
    <w:div w:id="527766403">
      <w:marLeft w:val="0"/>
      <w:marRight w:val="0"/>
      <w:marTop w:val="0"/>
      <w:marBottom w:val="0"/>
      <w:divBdr>
        <w:top w:val="none" w:sz="0" w:space="0" w:color="auto"/>
        <w:left w:val="none" w:sz="0" w:space="0" w:color="auto"/>
        <w:bottom w:val="none" w:sz="0" w:space="0" w:color="auto"/>
        <w:right w:val="none" w:sz="0" w:space="0" w:color="auto"/>
      </w:divBdr>
    </w:div>
    <w:div w:id="527766404">
      <w:marLeft w:val="0"/>
      <w:marRight w:val="0"/>
      <w:marTop w:val="0"/>
      <w:marBottom w:val="0"/>
      <w:divBdr>
        <w:top w:val="none" w:sz="0" w:space="0" w:color="auto"/>
        <w:left w:val="none" w:sz="0" w:space="0" w:color="auto"/>
        <w:bottom w:val="none" w:sz="0" w:space="0" w:color="auto"/>
        <w:right w:val="none" w:sz="0" w:space="0" w:color="auto"/>
      </w:divBdr>
    </w:div>
    <w:div w:id="527766405">
      <w:marLeft w:val="0"/>
      <w:marRight w:val="0"/>
      <w:marTop w:val="0"/>
      <w:marBottom w:val="0"/>
      <w:divBdr>
        <w:top w:val="none" w:sz="0" w:space="0" w:color="auto"/>
        <w:left w:val="none" w:sz="0" w:space="0" w:color="auto"/>
        <w:bottom w:val="none" w:sz="0" w:space="0" w:color="auto"/>
        <w:right w:val="none" w:sz="0" w:space="0" w:color="auto"/>
      </w:divBdr>
    </w:div>
    <w:div w:id="527766406">
      <w:marLeft w:val="0"/>
      <w:marRight w:val="0"/>
      <w:marTop w:val="0"/>
      <w:marBottom w:val="0"/>
      <w:divBdr>
        <w:top w:val="none" w:sz="0" w:space="0" w:color="auto"/>
        <w:left w:val="none" w:sz="0" w:space="0" w:color="auto"/>
        <w:bottom w:val="none" w:sz="0" w:space="0" w:color="auto"/>
        <w:right w:val="none" w:sz="0" w:space="0" w:color="auto"/>
      </w:divBdr>
    </w:div>
    <w:div w:id="527766407">
      <w:marLeft w:val="0"/>
      <w:marRight w:val="0"/>
      <w:marTop w:val="0"/>
      <w:marBottom w:val="0"/>
      <w:divBdr>
        <w:top w:val="none" w:sz="0" w:space="0" w:color="auto"/>
        <w:left w:val="none" w:sz="0" w:space="0" w:color="auto"/>
        <w:bottom w:val="none" w:sz="0" w:space="0" w:color="auto"/>
        <w:right w:val="none" w:sz="0" w:space="0" w:color="auto"/>
      </w:divBdr>
    </w:div>
    <w:div w:id="527766408">
      <w:marLeft w:val="0"/>
      <w:marRight w:val="0"/>
      <w:marTop w:val="0"/>
      <w:marBottom w:val="0"/>
      <w:divBdr>
        <w:top w:val="none" w:sz="0" w:space="0" w:color="auto"/>
        <w:left w:val="none" w:sz="0" w:space="0" w:color="auto"/>
        <w:bottom w:val="none" w:sz="0" w:space="0" w:color="auto"/>
        <w:right w:val="none" w:sz="0" w:space="0" w:color="auto"/>
      </w:divBdr>
    </w:div>
    <w:div w:id="527766409">
      <w:marLeft w:val="0"/>
      <w:marRight w:val="0"/>
      <w:marTop w:val="0"/>
      <w:marBottom w:val="0"/>
      <w:divBdr>
        <w:top w:val="none" w:sz="0" w:space="0" w:color="auto"/>
        <w:left w:val="none" w:sz="0" w:space="0" w:color="auto"/>
        <w:bottom w:val="none" w:sz="0" w:space="0" w:color="auto"/>
        <w:right w:val="none" w:sz="0" w:space="0" w:color="auto"/>
      </w:divBdr>
    </w:div>
    <w:div w:id="527766410">
      <w:marLeft w:val="0"/>
      <w:marRight w:val="0"/>
      <w:marTop w:val="0"/>
      <w:marBottom w:val="0"/>
      <w:divBdr>
        <w:top w:val="none" w:sz="0" w:space="0" w:color="auto"/>
        <w:left w:val="none" w:sz="0" w:space="0" w:color="auto"/>
        <w:bottom w:val="none" w:sz="0" w:space="0" w:color="auto"/>
        <w:right w:val="none" w:sz="0" w:space="0" w:color="auto"/>
      </w:divBdr>
    </w:div>
    <w:div w:id="527766411">
      <w:marLeft w:val="0"/>
      <w:marRight w:val="0"/>
      <w:marTop w:val="0"/>
      <w:marBottom w:val="0"/>
      <w:divBdr>
        <w:top w:val="none" w:sz="0" w:space="0" w:color="auto"/>
        <w:left w:val="none" w:sz="0" w:space="0" w:color="auto"/>
        <w:bottom w:val="none" w:sz="0" w:space="0" w:color="auto"/>
        <w:right w:val="none" w:sz="0" w:space="0" w:color="auto"/>
      </w:divBdr>
    </w:div>
    <w:div w:id="527766412">
      <w:marLeft w:val="0"/>
      <w:marRight w:val="0"/>
      <w:marTop w:val="0"/>
      <w:marBottom w:val="0"/>
      <w:divBdr>
        <w:top w:val="none" w:sz="0" w:space="0" w:color="auto"/>
        <w:left w:val="none" w:sz="0" w:space="0" w:color="auto"/>
        <w:bottom w:val="none" w:sz="0" w:space="0" w:color="auto"/>
        <w:right w:val="none" w:sz="0" w:space="0" w:color="auto"/>
      </w:divBdr>
    </w:div>
    <w:div w:id="527766413">
      <w:marLeft w:val="0"/>
      <w:marRight w:val="0"/>
      <w:marTop w:val="0"/>
      <w:marBottom w:val="0"/>
      <w:divBdr>
        <w:top w:val="none" w:sz="0" w:space="0" w:color="auto"/>
        <w:left w:val="none" w:sz="0" w:space="0" w:color="auto"/>
        <w:bottom w:val="none" w:sz="0" w:space="0" w:color="auto"/>
        <w:right w:val="none" w:sz="0" w:space="0" w:color="auto"/>
      </w:divBdr>
    </w:div>
    <w:div w:id="527766414">
      <w:marLeft w:val="0"/>
      <w:marRight w:val="0"/>
      <w:marTop w:val="0"/>
      <w:marBottom w:val="0"/>
      <w:divBdr>
        <w:top w:val="none" w:sz="0" w:space="0" w:color="auto"/>
        <w:left w:val="none" w:sz="0" w:space="0" w:color="auto"/>
        <w:bottom w:val="none" w:sz="0" w:space="0" w:color="auto"/>
        <w:right w:val="none" w:sz="0" w:space="0" w:color="auto"/>
      </w:divBdr>
    </w:div>
    <w:div w:id="527766415">
      <w:marLeft w:val="0"/>
      <w:marRight w:val="0"/>
      <w:marTop w:val="0"/>
      <w:marBottom w:val="0"/>
      <w:divBdr>
        <w:top w:val="none" w:sz="0" w:space="0" w:color="auto"/>
        <w:left w:val="none" w:sz="0" w:space="0" w:color="auto"/>
        <w:bottom w:val="none" w:sz="0" w:space="0" w:color="auto"/>
        <w:right w:val="none" w:sz="0" w:space="0" w:color="auto"/>
      </w:divBdr>
    </w:div>
    <w:div w:id="527766416">
      <w:marLeft w:val="0"/>
      <w:marRight w:val="0"/>
      <w:marTop w:val="0"/>
      <w:marBottom w:val="0"/>
      <w:divBdr>
        <w:top w:val="none" w:sz="0" w:space="0" w:color="auto"/>
        <w:left w:val="none" w:sz="0" w:space="0" w:color="auto"/>
        <w:bottom w:val="none" w:sz="0" w:space="0" w:color="auto"/>
        <w:right w:val="none" w:sz="0" w:space="0" w:color="auto"/>
      </w:divBdr>
    </w:div>
    <w:div w:id="527766417">
      <w:marLeft w:val="0"/>
      <w:marRight w:val="0"/>
      <w:marTop w:val="0"/>
      <w:marBottom w:val="0"/>
      <w:divBdr>
        <w:top w:val="none" w:sz="0" w:space="0" w:color="auto"/>
        <w:left w:val="none" w:sz="0" w:space="0" w:color="auto"/>
        <w:bottom w:val="none" w:sz="0" w:space="0" w:color="auto"/>
        <w:right w:val="none" w:sz="0" w:space="0" w:color="auto"/>
      </w:divBdr>
    </w:div>
    <w:div w:id="527766418">
      <w:marLeft w:val="0"/>
      <w:marRight w:val="0"/>
      <w:marTop w:val="0"/>
      <w:marBottom w:val="0"/>
      <w:divBdr>
        <w:top w:val="none" w:sz="0" w:space="0" w:color="auto"/>
        <w:left w:val="none" w:sz="0" w:space="0" w:color="auto"/>
        <w:bottom w:val="none" w:sz="0" w:space="0" w:color="auto"/>
        <w:right w:val="none" w:sz="0" w:space="0" w:color="auto"/>
      </w:divBdr>
    </w:div>
    <w:div w:id="527766419">
      <w:marLeft w:val="0"/>
      <w:marRight w:val="0"/>
      <w:marTop w:val="0"/>
      <w:marBottom w:val="0"/>
      <w:divBdr>
        <w:top w:val="none" w:sz="0" w:space="0" w:color="auto"/>
        <w:left w:val="none" w:sz="0" w:space="0" w:color="auto"/>
        <w:bottom w:val="none" w:sz="0" w:space="0" w:color="auto"/>
        <w:right w:val="none" w:sz="0" w:space="0" w:color="auto"/>
      </w:divBdr>
    </w:div>
    <w:div w:id="527766420">
      <w:marLeft w:val="0"/>
      <w:marRight w:val="0"/>
      <w:marTop w:val="0"/>
      <w:marBottom w:val="0"/>
      <w:divBdr>
        <w:top w:val="none" w:sz="0" w:space="0" w:color="auto"/>
        <w:left w:val="none" w:sz="0" w:space="0" w:color="auto"/>
        <w:bottom w:val="none" w:sz="0" w:space="0" w:color="auto"/>
        <w:right w:val="none" w:sz="0" w:space="0" w:color="auto"/>
      </w:divBdr>
    </w:div>
    <w:div w:id="527766421">
      <w:marLeft w:val="0"/>
      <w:marRight w:val="0"/>
      <w:marTop w:val="0"/>
      <w:marBottom w:val="0"/>
      <w:divBdr>
        <w:top w:val="none" w:sz="0" w:space="0" w:color="auto"/>
        <w:left w:val="none" w:sz="0" w:space="0" w:color="auto"/>
        <w:bottom w:val="none" w:sz="0" w:space="0" w:color="auto"/>
        <w:right w:val="none" w:sz="0" w:space="0" w:color="auto"/>
      </w:divBdr>
    </w:div>
    <w:div w:id="527766422">
      <w:marLeft w:val="0"/>
      <w:marRight w:val="0"/>
      <w:marTop w:val="0"/>
      <w:marBottom w:val="0"/>
      <w:divBdr>
        <w:top w:val="none" w:sz="0" w:space="0" w:color="auto"/>
        <w:left w:val="none" w:sz="0" w:space="0" w:color="auto"/>
        <w:bottom w:val="none" w:sz="0" w:space="0" w:color="auto"/>
        <w:right w:val="none" w:sz="0" w:space="0" w:color="auto"/>
      </w:divBdr>
    </w:div>
    <w:div w:id="527766423">
      <w:marLeft w:val="0"/>
      <w:marRight w:val="0"/>
      <w:marTop w:val="0"/>
      <w:marBottom w:val="0"/>
      <w:divBdr>
        <w:top w:val="none" w:sz="0" w:space="0" w:color="auto"/>
        <w:left w:val="none" w:sz="0" w:space="0" w:color="auto"/>
        <w:bottom w:val="none" w:sz="0" w:space="0" w:color="auto"/>
        <w:right w:val="none" w:sz="0" w:space="0" w:color="auto"/>
      </w:divBdr>
    </w:div>
    <w:div w:id="527766424">
      <w:marLeft w:val="0"/>
      <w:marRight w:val="0"/>
      <w:marTop w:val="0"/>
      <w:marBottom w:val="0"/>
      <w:divBdr>
        <w:top w:val="none" w:sz="0" w:space="0" w:color="auto"/>
        <w:left w:val="none" w:sz="0" w:space="0" w:color="auto"/>
        <w:bottom w:val="none" w:sz="0" w:space="0" w:color="auto"/>
        <w:right w:val="none" w:sz="0" w:space="0" w:color="auto"/>
      </w:divBdr>
    </w:div>
    <w:div w:id="527766425">
      <w:marLeft w:val="0"/>
      <w:marRight w:val="0"/>
      <w:marTop w:val="0"/>
      <w:marBottom w:val="0"/>
      <w:divBdr>
        <w:top w:val="none" w:sz="0" w:space="0" w:color="auto"/>
        <w:left w:val="none" w:sz="0" w:space="0" w:color="auto"/>
        <w:bottom w:val="none" w:sz="0" w:space="0" w:color="auto"/>
        <w:right w:val="none" w:sz="0" w:space="0" w:color="auto"/>
      </w:divBdr>
    </w:div>
    <w:div w:id="527766426">
      <w:marLeft w:val="0"/>
      <w:marRight w:val="0"/>
      <w:marTop w:val="0"/>
      <w:marBottom w:val="0"/>
      <w:divBdr>
        <w:top w:val="none" w:sz="0" w:space="0" w:color="auto"/>
        <w:left w:val="none" w:sz="0" w:space="0" w:color="auto"/>
        <w:bottom w:val="none" w:sz="0" w:space="0" w:color="auto"/>
        <w:right w:val="none" w:sz="0" w:space="0" w:color="auto"/>
      </w:divBdr>
    </w:div>
    <w:div w:id="527766427">
      <w:marLeft w:val="0"/>
      <w:marRight w:val="0"/>
      <w:marTop w:val="0"/>
      <w:marBottom w:val="0"/>
      <w:divBdr>
        <w:top w:val="none" w:sz="0" w:space="0" w:color="auto"/>
        <w:left w:val="none" w:sz="0" w:space="0" w:color="auto"/>
        <w:bottom w:val="none" w:sz="0" w:space="0" w:color="auto"/>
        <w:right w:val="none" w:sz="0" w:space="0" w:color="auto"/>
      </w:divBdr>
    </w:div>
    <w:div w:id="527766428">
      <w:marLeft w:val="0"/>
      <w:marRight w:val="0"/>
      <w:marTop w:val="0"/>
      <w:marBottom w:val="0"/>
      <w:divBdr>
        <w:top w:val="none" w:sz="0" w:space="0" w:color="auto"/>
        <w:left w:val="none" w:sz="0" w:space="0" w:color="auto"/>
        <w:bottom w:val="none" w:sz="0" w:space="0" w:color="auto"/>
        <w:right w:val="none" w:sz="0" w:space="0" w:color="auto"/>
      </w:divBdr>
    </w:div>
    <w:div w:id="527766429">
      <w:marLeft w:val="0"/>
      <w:marRight w:val="0"/>
      <w:marTop w:val="0"/>
      <w:marBottom w:val="0"/>
      <w:divBdr>
        <w:top w:val="none" w:sz="0" w:space="0" w:color="auto"/>
        <w:left w:val="none" w:sz="0" w:space="0" w:color="auto"/>
        <w:bottom w:val="none" w:sz="0" w:space="0" w:color="auto"/>
        <w:right w:val="none" w:sz="0" w:space="0" w:color="auto"/>
      </w:divBdr>
    </w:div>
    <w:div w:id="527766430">
      <w:marLeft w:val="0"/>
      <w:marRight w:val="0"/>
      <w:marTop w:val="0"/>
      <w:marBottom w:val="0"/>
      <w:divBdr>
        <w:top w:val="none" w:sz="0" w:space="0" w:color="auto"/>
        <w:left w:val="none" w:sz="0" w:space="0" w:color="auto"/>
        <w:bottom w:val="none" w:sz="0" w:space="0" w:color="auto"/>
        <w:right w:val="none" w:sz="0" w:space="0" w:color="auto"/>
      </w:divBdr>
    </w:div>
    <w:div w:id="527766431">
      <w:marLeft w:val="0"/>
      <w:marRight w:val="0"/>
      <w:marTop w:val="0"/>
      <w:marBottom w:val="0"/>
      <w:divBdr>
        <w:top w:val="none" w:sz="0" w:space="0" w:color="auto"/>
        <w:left w:val="none" w:sz="0" w:space="0" w:color="auto"/>
        <w:bottom w:val="none" w:sz="0" w:space="0" w:color="auto"/>
        <w:right w:val="none" w:sz="0" w:space="0" w:color="auto"/>
      </w:divBdr>
    </w:div>
    <w:div w:id="527766432">
      <w:marLeft w:val="0"/>
      <w:marRight w:val="0"/>
      <w:marTop w:val="0"/>
      <w:marBottom w:val="0"/>
      <w:divBdr>
        <w:top w:val="none" w:sz="0" w:space="0" w:color="auto"/>
        <w:left w:val="none" w:sz="0" w:space="0" w:color="auto"/>
        <w:bottom w:val="none" w:sz="0" w:space="0" w:color="auto"/>
        <w:right w:val="none" w:sz="0" w:space="0" w:color="auto"/>
      </w:divBdr>
    </w:div>
    <w:div w:id="527766433">
      <w:marLeft w:val="0"/>
      <w:marRight w:val="0"/>
      <w:marTop w:val="0"/>
      <w:marBottom w:val="0"/>
      <w:divBdr>
        <w:top w:val="none" w:sz="0" w:space="0" w:color="auto"/>
        <w:left w:val="none" w:sz="0" w:space="0" w:color="auto"/>
        <w:bottom w:val="none" w:sz="0" w:space="0" w:color="auto"/>
        <w:right w:val="none" w:sz="0" w:space="0" w:color="auto"/>
      </w:divBdr>
    </w:div>
    <w:div w:id="527766434">
      <w:marLeft w:val="0"/>
      <w:marRight w:val="0"/>
      <w:marTop w:val="0"/>
      <w:marBottom w:val="0"/>
      <w:divBdr>
        <w:top w:val="none" w:sz="0" w:space="0" w:color="auto"/>
        <w:left w:val="none" w:sz="0" w:space="0" w:color="auto"/>
        <w:bottom w:val="none" w:sz="0" w:space="0" w:color="auto"/>
        <w:right w:val="none" w:sz="0" w:space="0" w:color="auto"/>
      </w:divBdr>
    </w:div>
    <w:div w:id="527766435">
      <w:marLeft w:val="0"/>
      <w:marRight w:val="0"/>
      <w:marTop w:val="0"/>
      <w:marBottom w:val="0"/>
      <w:divBdr>
        <w:top w:val="none" w:sz="0" w:space="0" w:color="auto"/>
        <w:left w:val="none" w:sz="0" w:space="0" w:color="auto"/>
        <w:bottom w:val="none" w:sz="0" w:space="0" w:color="auto"/>
        <w:right w:val="none" w:sz="0" w:space="0" w:color="auto"/>
      </w:divBdr>
    </w:div>
    <w:div w:id="527766436">
      <w:marLeft w:val="0"/>
      <w:marRight w:val="0"/>
      <w:marTop w:val="0"/>
      <w:marBottom w:val="0"/>
      <w:divBdr>
        <w:top w:val="none" w:sz="0" w:space="0" w:color="auto"/>
        <w:left w:val="none" w:sz="0" w:space="0" w:color="auto"/>
        <w:bottom w:val="none" w:sz="0" w:space="0" w:color="auto"/>
        <w:right w:val="none" w:sz="0" w:space="0" w:color="auto"/>
      </w:divBdr>
    </w:div>
    <w:div w:id="527766437">
      <w:marLeft w:val="0"/>
      <w:marRight w:val="0"/>
      <w:marTop w:val="0"/>
      <w:marBottom w:val="0"/>
      <w:divBdr>
        <w:top w:val="none" w:sz="0" w:space="0" w:color="auto"/>
        <w:left w:val="none" w:sz="0" w:space="0" w:color="auto"/>
        <w:bottom w:val="none" w:sz="0" w:space="0" w:color="auto"/>
        <w:right w:val="none" w:sz="0" w:space="0" w:color="auto"/>
      </w:divBdr>
    </w:div>
    <w:div w:id="527766438">
      <w:marLeft w:val="0"/>
      <w:marRight w:val="0"/>
      <w:marTop w:val="0"/>
      <w:marBottom w:val="0"/>
      <w:divBdr>
        <w:top w:val="none" w:sz="0" w:space="0" w:color="auto"/>
        <w:left w:val="none" w:sz="0" w:space="0" w:color="auto"/>
        <w:bottom w:val="none" w:sz="0" w:space="0" w:color="auto"/>
        <w:right w:val="none" w:sz="0" w:space="0" w:color="auto"/>
      </w:divBdr>
    </w:div>
    <w:div w:id="527766439">
      <w:marLeft w:val="0"/>
      <w:marRight w:val="0"/>
      <w:marTop w:val="0"/>
      <w:marBottom w:val="0"/>
      <w:divBdr>
        <w:top w:val="none" w:sz="0" w:space="0" w:color="auto"/>
        <w:left w:val="none" w:sz="0" w:space="0" w:color="auto"/>
        <w:bottom w:val="none" w:sz="0" w:space="0" w:color="auto"/>
        <w:right w:val="none" w:sz="0" w:space="0" w:color="auto"/>
      </w:divBdr>
    </w:div>
    <w:div w:id="527766440">
      <w:marLeft w:val="0"/>
      <w:marRight w:val="0"/>
      <w:marTop w:val="0"/>
      <w:marBottom w:val="0"/>
      <w:divBdr>
        <w:top w:val="none" w:sz="0" w:space="0" w:color="auto"/>
        <w:left w:val="none" w:sz="0" w:space="0" w:color="auto"/>
        <w:bottom w:val="none" w:sz="0" w:space="0" w:color="auto"/>
        <w:right w:val="none" w:sz="0" w:space="0" w:color="auto"/>
      </w:divBdr>
    </w:div>
    <w:div w:id="527766441">
      <w:marLeft w:val="0"/>
      <w:marRight w:val="0"/>
      <w:marTop w:val="0"/>
      <w:marBottom w:val="0"/>
      <w:divBdr>
        <w:top w:val="none" w:sz="0" w:space="0" w:color="auto"/>
        <w:left w:val="none" w:sz="0" w:space="0" w:color="auto"/>
        <w:bottom w:val="none" w:sz="0" w:space="0" w:color="auto"/>
        <w:right w:val="none" w:sz="0" w:space="0" w:color="auto"/>
      </w:divBdr>
    </w:div>
    <w:div w:id="527766442">
      <w:marLeft w:val="0"/>
      <w:marRight w:val="0"/>
      <w:marTop w:val="0"/>
      <w:marBottom w:val="0"/>
      <w:divBdr>
        <w:top w:val="none" w:sz="0" w:space="0" w:color="auto"/>
        <w:left w:val="none" w:sz="0" w:space="0" w:color="auto"/>
        <w:bottom w:val="none" w:sz="0" w:space="0" w:color="auto"/>
        <w:right w:val="none" w:sz="0" w:space="0" w:color="auto"/>
      </w:divBdr>
    </w:div>
    <w:div w:id="527766443">
      <w:marLeft w:val="0"/>
      <w:marRight w:val="0"/>
      <w:marTop w:val="0"/>
      <w:marBottom w:val="0"/>
      <w:divBdr>
        <w:top w:val="none" w:sz="0" w:space="0" w:color="auto"/>
        <w:left w:val="none" w:sz="0" w:space="0" w:color="auto"/>
        <w:bottom w:val="none" w:sz="0" w:space="0" w:color="auto"/>
        <w:right w:val="none" w:sz="0" w:space="0" w:color="auto"/>
      </w:divBdr>
    </w:div>
    <w:div w:id="527766444">
      <w:marLeft w:val="0"/>
      <w:marRight w:val="0"/>
      <w:marTop w:val="0"/>
      <w:marBottom w:val="0"/>
      <w:divBdr>
        <w:top w:val="none" w:sz="0" w:space="0" w:color="auto"/>
        <w:left w:val="none" w:sz="0" w:space="0" w:color="auto"/>
        <w:bottom w:val="none" w:sz="0" w:space="0" w:color="auto"/>
        <w:right w:val="none" w:sz="0" w:space="0" w:color="auto"/>
      </w:divBdr>
    </w:div>
    <w:div w:id="527766445">
      <w:marLeft w:val="0"/>
      <w:marRight w:val="0"/>
      <w:marTop w:val="0"/>
      <w:marBottom w:val="0"/>
      <w:divBdr>
        <w:top w:val="none" w:sz="0" w:space="0" w:color="auto"/>
        <w:left w:val="none" w:sz="0" w:space="0" w:color="auto"/>
        <w:bottom w:val="none" w:sz="0" w:space="0" w:color="auto"/>
        <w:right w:val="none" w:sz="0" w:space="0" w:color="auto"/>
      </w:divBdr>
    </w:div>
    <w:div w:id="527766446">
      <w:marLeft w:val="0"/>
      <w:marRight w:val="0"/>
      <w:marTop w:val="0"/>
      <w:marBottom w:val="0"/>
      <w:divBdr>
        <w:top w:val="none" w:sz="0" w:space="0" w:color="auto"/>
        <w:left w:val="none" w:sz="0" w:space="0" w:color="auto"/>
        <w:bottom w:val="none" w:sz="0" w:space="0" w:color="auto"/>
        <w:right w:val="none" w:sz="0" w:space="0" w:color="auto"/>
      </w:divBdr>
    </w:div>
    <w:div w:id="527766447">
      <w:marLeft w:val="0"/>
      <w:marRight w:val="0"/>
      <w:marTop w:val="0"/>
      <w:marBottom w:val="0"/>
      <w:divBdr>
        <w:top w:val="none" w:sz="0" w:space="0" w:color="auto"/>
        <w:left w:val="none" w:sz="0" w:space="0" w:color="auto"/>
        <w:bottom w:val="none" w:sz="0" w:space="0" w:color="auto"/>
        <w:right w:val="none" w:sz="0" w:space="0" w:color="auto"/>
      </w:divBdr>
    </w:div>
    <w:div w:id="527766448">
      <w:marLeft w:val="0"/>
      <w:marRight w:val="0"/>
      <w:marTop w:val="0"/>
      <w:marBottom w:val="0"/>
      <w:divBdr>
        <w:top w:val="none" w:sz="0" w:space="0" w:color="auto"/>
        <w:left w:val="none" w:sz="0" w:space="0" w:color="auto"/>
        <w:bottom w:val="none" w:sz="0" w:space="0" w:color="auto"/>
        <w:right w:val="none" w:sz="0" w:space="0" w:color="auto"/>
      </w:divBdr>
    </w:div>
    <w:div w:id="527766449">
      <w:marLeft w:val="0"/>
      <w:marRight w:val="0"/>
      <w:marTop w:val="0"/>
      <w:marBottom w:val="0"/>
      <w:divBdr>
        <w:top w:val="none" w:sz="0" w:space="0" w:color="auto"/>
        <w:left w:val="none" w:sz="0" w:space="0" w:color="auto"/>
        <w:bottom w:val="none" w:sz="0" w:space="0" w:color="auto"/>
        <w:right w:val="none" w:sz="0" w:space="0" w:color="auto"/>
      </w:divBdr>
    </w:div>
    <w:div w:id="527766450">
      <w:marLeft w:val="0"/>
      <w:marRight w:val="0"/>
      <w:marTop w:val="0"/>
      <w:marBottom w:val="0"/>
      <w:divBdr>
        <w:top w:val="none" w:sz="0" w:space="0" w:color="auto"/>
        <w:left w:val="none" w:sz="0" w:space="0" w:color="auto"/>
        <w:bottom w:val="none" w:sz="0" w:space="0" w:color="auto"/>
        <w:right w:val="none" w:sz="0" w:space="0" w:color="auto"/>
      </w:divBdr>
    </w:div>
    <w:div w:id="527766451">
      <w:marLeft w:val="0"/>
      <w:marRight w:val="0"/>
      <w:marTop w:val="0"/>
      <w:marBottom w:val="0"/>
      <w:divBdr>
        <w:top w:val="none" w:sz="0" w:space="0" w:color="auto"/>
        <w:left w:val="none" w:sz="0" w:space="0" w:color="auto"/>
        <w:bottom w:val="none" w:sz="0" w:space="0" w:color="auto"/>
        <w:right w:val="none" w:sz="0" w:space="0" w:color="auto"/>
      </w:divBdr>
    </w:div>
    <w:div w:id="527766452">
      <w:marLeft w:val="0"/>
      <w:marRight w:val="0"/>
      <w:marTop w:val="0"/>
      <w:marBottom w:val="0"/>
      <w:divBdr>
        <w:top w:val="none" w:sz="0" w:space="0" w:color="auto"/>
        <w:left w:val="none" w:sz="0" w:space="0" w:color="auto"/>
        <w:bottom w:val="none" w:sz="0" w:space="0" w:color="auto"/>
        <w:right w:val="none" w:sz="0" w:space="0" w:color="auto"/>
      </w:divBdr>
    </w:div>
    <w:div w:id="527766453">
      <w:marLeft w:val="0"/>
      <w:marRight w:val="0"/>
      <w:marTop w:val="0"/>
      <w:marBottom w:val="0"/>
      <w:divBdr>
        <w:top w:val="none" w:sz="0" w:space="0" w:color="auto"/>
        <w:left w:val="none" w:sz="0" w:space="0" w:color="auto"/>
        <w:bottom w:val="none" w:sz="0" w:space="0" w:color="auto"/>
        <w:right w:val="none" w:sz="0" w:space="0" w:color="auto"/>
      </w:divBdr>
    </w:div>
    <w:div w:id="527766454">
      <w:marLeft w:val="0"/>
      <w:marRight w:val="0"/>
      <w:marTop w:val="0"/>
      <w:marBottom w:val="0"/>
      <w:divBdr>
        <w:top w:val="none" w:sz="0" w:space="0" w:color="auto"/>
        <w:left w:val="none" w:sz="0" w:space="0" w:color="auto"/>
        <w:bottom w:val="none" w:sz="0" w:space="0" w:color="auto"/>
        <w:right w:val="none" w:sz="0" w:space="0" w:color="auto"/>
      </w:divBdr>
    </w:div>
    <w:div w:id="527766455">
      <w:marLeft w:val="0"/>
      <w:marRight w:val="0"/>
      <w:marTop w:val="0"/>
      <w:marBottom w:val="0"/>
      <w:divBdr>
        <w:top w:val="none" w:sz="0" w:space="0" w:color="auto"/>
        <w:left w:val="none" w:sz="0" w:space="0" w:color="auto"/>
        <w:bottom w:val="none" w:sz="0" w:space="0" w:color="auto"/>
        <w:right w:val="none" w:sz="0" w:space="0" w:color="auto"/>
      </w:divBdr>
    </w:div>
    <w:div w:id="527766456">
      <w:marLeft w:val="0"/>
      <w:marRight w:val="0"/>
      <w:marTop w:val="0"/>
      <w:marBottom w:val="0"/>
      <w:divBdr>
        <w:top w:val="none" w:sz="0" w:space="0" w:color="auto"/>
        <w:left w:val="none" w:sz="0" w:space="0" w:color="auto"/>
        <w:bottom w:val="none" w:sz="0" w:space="0" w:color="auto"/>
        <w:right w:val="none" w:sz="0" w:space="0" w:color="auto"/>
      </w:divBdr>
    </w:div>
    <w:div w:id="527766457">
      <w:marLeft w:val="0"/>
      <w:marRight w:val="0"/>
      <w:marTop w:val="0"/>
      <w:marBottom w:val="0"/>
      <w:divBdr>
        <w:top w:val="none" w:sz="0" w:space="0" w:color="auto"/>
        <w:left w:val="none" w:sz="0" w:space="0" w:color="auto"/>
        <w:bottom w:val="none" w:sz="0" w:space="0" w:color="auto"/>
        <w:right w:val="none" w:sz="0" w:space="0" w:color="auto"/>
      </w:divBdr>
    </w:div>
    <w:div w:id="527766458">
      <w:marLeft w:val="0"/>
      <w:marRight w:val="0"/>
      <w:marTop w:val="0"/>
      <w:marBottom w:val="0"/>
      <w:divBdr>
        <w:top w:val="none" w:sz="0" w:space="0" w:color="auto"/>
        <w:left w:val="none" w:sz="0" w:space="0" w:color="auto"/>
        <w:bottom w:val="none" w:sz="0" w:space="0" w:color="auto"/>
        <w:right w:val="none" w:sz="0" w:space="0" w:color="auto"/>
      </w:divBdr>
    </w:div>
    <w:div w:id="527766459">
      <w:marLeft w:val="0"/>
      <w:marRight w:val="0"/>
      <w:marTop w:val="0"/>
      <w:marBottom w:val="0"/>
      <w:divBdr>
        <w:top w:val="none" w:sz="0" w:space="0" w:color="auto"/>
        <w:left w:val="none" w:sz="0" w:space="0" w:color="auto"/>
        <w:bottom w:val="none" w:sz="0" w:space="0" w:color="auto"/>
        <w:right w:val="none" w:sz="0" w:space="0" w:color="auto"/>
      </w:divBdr>
    </w:div>
    <w:div w:id="527766460">
      <w:marLeft w:val="0"/>
      <w:marRight w:val="0"/>
      <w:marTop w:val="0"/>
      <w:marBottom w:val="0"/>
      <w:divBdr>
        <w:top w:val="none" w:sz="0" w:space="0" w:color="auto"/>
        <w:left w:val="none" w:sz="0" w:space="0" w:color="auto"/>
        <w:bottom w:val="none" w:sz="0" w:space="0" w:color="auto"/>
        <w:right w:val="none" w:sz="0" w:space="0" w:color="auto"/>
      </w:divBdr>
    </w:div>
    <w:div w:id="527766461">
      <w:marLeft w:val="0"/>
      <w:marRight w:val="0"/>
      <w:marTop w:val="0"/>
      <w:marBottom w:val="0"/>
      <w:divBdr>
        <w:top w:val="none" w:sz="0" w:space="0" w:color="auto"/>
        <w:left w:val="none" w:sz="0" w:space="0" w:color="auto"/>
        <w:bottom w:val="none" w:sz="0" w:space="0" w:color="auto"/>
        <w:right w:val="none" w:sz="0" w:space="0" w:color="auto"/>
      </w:divBdr>
    </w:div>
    <w:div w:id="527766462">
      <w:marLeft w:val="0"/>
      <w:marRight w:val="0"/>
      <w:marTop w:val="0"/>
      <w:marBottom w:val="0"/>
      <w:divBdr>
        <w:top w:val="none" w:sz="0" w:space="0" w:color="auto"/>
        <w:left w:val="none" w:sz="0" w:space="0" w:color="auto"/>
        <w:bottom w:val="none" w:sz="0" w:space="0" w:color="auto"/>
        <w:right w:val="none" w:sz="0" w:space="0" w:color="auto"/>
      </w:divBdr>
    </w:div>
    <w:div w:id="527766463">
      <w:marLeft w:val="0"/>
      <w:marRight w:val="0"/>
      <w:marTop w:val="0"/>
      <w:marBottom w:val="0"/>
      <w:divBdr>
        <w:top w:val="none" w:sz="0" w:space="0" w:color="auto"/>
        <w:left w:val="none" w:sz="0" w:space="0" w:color="auto"/>
        <w:bottom w:val="none" w:sz="0" w:space="0" w:color="auto"/>
        <w:right w:val="none" w:sz="0" w:space="0" w:color="auto"/>
      </w:divBdr>
    </w:div>
    <w:div w:id="527766464">
      <w:marLeft w:val="0"/>
      <w:marRight w:val="0"/>
      <w:marTop w:val="0"/>
      <w:marBottom w:val="0"/>
      <w:divBdr>
        <w:top w:val="none" w:sz="0" w:space="0" w:color="auto"/>
        <w:left w:val="none" w:sz="0" w:space="0" w:color="auto"/>
        <w:bottom w:val="none" w:sz="0" w:space="0" w:color="auto"/>
        <w:right w:val="none" w:sz="0" w:space="0" w:color="auto"/>
      </w:divBdr>
    </w:div>
    <w:div w:id="527766465">
      <w:marLeft w:val="0"/>
      <w:marRight w:val="0"/>
      <w:marTop w:val="0"/>
      <w:marBottom w:val="0"/>
      <w:divBdr>
        <w:top w:val="none" w:sz="0" w:space="0" w:color="auto"/>
        <w:left w:val="none" w:sz="0" w:space="0" w:color="auto"/>
        <w:bottom w:val="none" w:sz="0" w:space="0" w:color="auto"/>
        <w:right w:val="none" w:sz="0" w:space="0" w:color="auto"/>
      </w:divBdr>
    </w:div>
    <w:div w:id="527766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Pages>
  <Words>949</Words>
  <Characters>6391</Characters>
  <Application>Microsoft Office Outlook</Application>
  <DocSecurity>0</DocSecurity>
  <Lines>0</Lines>
  <Paragraphs>0</Paragraphs>
  <ScaleCrop>false</ScaleCrop>
  <Manager>Baiba Pētersone</Manager>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pašvaldību institūciju amatu katalogs</dc:title>
  <dc:subject>Ministru kabineta noteikumu projekta anotācija</dc:subject>
  <dc:creator>Baiba Medvecka</dc:creator>
  <cp:keywords/>
  <dc:description>baiba.medvecka@mk.gov.lv; 67082907</dc:description>
  <cp:lastModifiedBy>Laura Slišāne</cp:lastModifiedBy>
  <cp:revision>8</cp:revision>
  <cp:lastPrinted>2011-04-08T09:14:00Z</cp:lastPrinted>
  <dcterms:created xsi:type="dcterms:W3CDTF">2011-04-04T07:24:00Z</dcterms:created>
  <dcterms:modified xsi:type="dcterms:W3CDTF">2011-04-08T09:14:00Z</dcterms:modified>
</cp:coreProperties>
</file>